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C9C6" w14:textId="77777777" w:rsidR="00000000" w:rsidRDefault="00000000">
      <w:pPr>
        <w:pStyle w:val="GvdeMetni"/>
        <w:spacing w:after="120" w:line="240" w:lineRule="auto"/>
        <w:jc w:val="center"/>
      </w:pPr>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2024-2025 EĞİTİM ÖĞRETİM YILI İLK VE ORTAOKUL ÖĞRENCİLERİNİ TAŞIMA HİZMETİ ALIMI</w:t>
      </w:r>
      <w:r>
        <w:rPr>
          <w:rFonts w:ascii="Times New Roman" w:hAnsi="Times New Roman" w:cs="Times New Roman"/>
          <w:color w:val="auto"/>
          <w:sz w:val="24"/>
          <w:szCs w:val="24"/>
        </w:rPr>
        <w:t xml:space="preserve"> ALIMI İDARİ ŞARTNAMESİ </w:t>
      </w:r>
    </w:p>
    <w:p w14:paraId="6B72951C" w14:textId="77777777" w:rsidR="00000000" w:rsidRDefault="00000000">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14:paraId="25CF32DB" w14:textId="77777777" w:rsidR="00000000" w:rsidRDefault="00000000">
      <w:pPr>
        <w:spacing w:before="120"/>
        <w:jc w:val="both"/>
      </w:pPr>
      <w:r>
        <w:rPr>
          <w:b/>
          <w:bCs/>
          <w:color w:val="auto"/>
        </w:rPr>
        <w:t>Madde 1 - İdareye ilişkin bilgiler</w:t>
      </w:r>
    </w:p>
    <w:p w14:paraId="18DED3C0" w14:textId="77777777" w:rsidR="00000000" w:rsidRDefault="00000000">
      <w:pPr>
        <w:jc w:val="both"/>
      </w:pPr>
      <w:r>
        <w:rPr>
          <w:b/>
          <w:bCs/>
        </w:rPr>
        <w:t>1.1.</w:t>
      </w:r>
      <w:r>
        <w:t xml:space="preserve"> İdarenin; </w:t>
      </w:r>
    </w:p>
    <w:p w14:paraId="376E3E93" w14:textId="77777777" w:rsidR="00000000" w:rsidRDefault="00000000">
      <w:pPr>
        <w:jc w:val="both"/>
        <w:divId w:val="1974483245"/>
        <w:rPr>
          <w:rFonts w:eastAsia="Times New Roman"/>
        </w:rPr>
      </w:pPr>
      <w:r>
        <w:rPr>
          <w:rFonts w:eastAsia="Times New Roman"/>
        </w:rPr>
        <w:t xml:space="preserve">a) Adı: </w:t>
      </w:r>
      <w:r>
        <w:rPr>
          <w:rStyle w:val="richtext"/>
          <w:rFonts w:eastAsia="Times New Roman"/>
          <w:b/>
          <w:bCs/>
          <w:color w:val="003399"/>
          <w:u w:val="dotted"/>
        </w:rPr>
        <w:t>Borçka İlçe Milli Eğitim Müdürlüğü- MİLLİ EĞİTİM BAKANLIĞI BAKAN YARDIMCILIKLARI</w:t>
      </w:r>
      <w:r>
        <w:rPr>
          <w:rFonts w:eastAsia="Times New Roman"/>
        </w:rPr>
        <w:t xml:space="preserve"> </w:t>
      </w:r>
    </w:p>
    <w:p w14:paraId="1B634E5E" w14:textId="77777777" w:rsidR="00000000" w:rsidRDefault="00000000">
      <w:pPr>
        <w:jc w:val="both"/>
        <w:divId w:val="1974483245"/>
      </w:pPr>
      <w:r>
        <w:t xml:space="preserve">b) Adresi: </w:t>
      </w:r>
      <w:r>
        <w:rPr>
          <w:rStyle w:val="richtext"/>
          <w:b/>
          <w:bCs/>
          <w:color w:val="003399"/>
          <w:u w:val="dotted"/>
        </w:rPr>
        <w:t xml:space="preserve">GÜNDOĞDU MAHALLESİ HÜKÜMET KONAĞI 1 08400 </w:t>
      </w:r>
      <w:r>
        <w:t xml:space="preserve">- </w:t>
      </w:r>
      <w:r>
        <w:rPr>
          <w:rStyle w:val="richtext"/>
          <w:b/>
          <w:bCs/>
          <w:color w:val="003399"/>
          <w:u w:val="dotted"/>
        </w:rPr>
        <w:t>BORÇKA</w:t>
      </w:r>
      <w:r>
        <w:t xml:space="preserve"> / </w:t>
      </w:r>
      <w:r>
        <w:rPr>
          <w:rStyle w:val="richtext"/>
          <w:b/>
          <w:bCs/>
          <w:color w:val="003399"/>
          <w:u w:val="dotted"/>
        </w:rPr>
        <w:t>ARTVİN</w:t>
      </w:r>
      <w:r>
        <w:t xml:space="preserve"> </w:t>
      </w:r>
    </w:p>
    <w:p w14:paraId="4BC23222" w14:textId="77777777" w:rsidR="00000000" w:rsidRDefault="00000000">
      <w:pPr>
        <w:jc w:val="both"/>
        <w:divId w:val="1974483245"/>
      </w:pPr>
      <w:r>
        <w:t xml:space="preserve">c) Telefon numarası: </w:t>
      </w:r>
      <w:r>
        <w:rPr>
          <w:rStyle w:val="richtext"/>
          <w:b/>
          <w:bCs/>
          <w:color w:val="003399"/>
          <w:u w:val="dotted"/>
        </w:rPr>
        <w:t>4664151042</w:t>
      </w:r>
      <w:r>
        <w:t xml:space="preserve"> </w:t>
      </w:r>
    </w:p>
    <w:p w14:paraId="740A0EDA" w14:textId="77777777" w:rsidR="00000000" w:rsidRDefault="00000000">
      <w:pPr>
        <w:jc w:val="both"/>
        <w:divId w:val="1974483245"/>
      </w:pPr>
      <w:r>
        <w:t xml:space="preserve">ç) Faks numarası: </w:t>
      </w:r>
      <w:r>
        <w:rPr>
          <w:rStyle w:val="richtext"/>
          <w:b/>
          <w:bCs/>
          <w:color w:val="003399"/>
          <w:u w:val="dotted"/>
        </w:rPr>
        <w:t>4664151332</w:t>
      </w:r>
      <w:r>
        <w:t xml:space="preserve"> </w:t>
      </w:r>
    </w:p>
    <w:p w14:paraId="40E8AC7E" w14:textId="77777777" w:rsidR="00000000" w:rsidRDefault="00000000">
      <w:pPr>
        <w:jc w:val="both"/>
        <w:divId w:val="1974483245"/>
      </w:pPr>
      <w:r>
        <w:t xml:space="preserve">d) İlgili personelinin adı, soyadı ve unvanı: </w:t>
      </w:r>
      <w:r>
        <w:rPr>
          <w:rStyle w:val="richtext"/>
          <w:b/>
          <w:bCs/>
          <w:color w:val="003399"/>
          <w:u w:val="dotted"/>
        </w:rPr>
        <w:t>HAYRETTİN KAHYA-ŞUBE MÜDÜRÜ</w:t>
      </w:r>
      <w:r>
        <w:t xml:space="preserve"> </w:t>
      </w:r>
    </w:p>
    <w:p w14:paraId="392E3BCF" w14:textId="77777777" w:rsidR="00000000" w:rsidRDefault="00000000">
      <w:pPr>
        <w:spacing w:before="120"/>
        <w:jc w:val="both"/>
      </w:pPr>
      <w:r>
        <w:rPr>
          <w:b/>
          <w:bCs/>
          <w:color w:val="auto"/>
        </w:rPr>
        <w:t>Madde 2 - İhale konusu işe/alıma ilişkin bilgiler</w:t>
      </w:r>
    </w:p>
    <w:p w14:paraId="3DB94C77" w14:textId="77777777" w:rsidR="00000000" w:rsidRDefault="00000000">
      <w:pPr>
        <w:jc w:val="both"/>
      </w:pPr>
      <w:r>
        <w:rPr>
          <w:b/>
          <w:bCs/>
        </w:rPr>
        <w:t>2.1.</w:t>
      </w:r>
      <w:r>
        <w:t xml:space="preserve"> İhale konusu işin/alımın; </w:t>
      </w:r>
    </w:p>
    <w:p w14:paraId="08B74A06" w14:textId="77777777" w:rsidR="00000000" w:rsidRDefault="00000000">
      <w:pPr>
        <w:jc w:val="both"/>
        <w:divId w:val="495456664"/>
        <w:rPr>
          <w:rFonts w:eastAsia="Times New Roman"/>
        </w:rPr>
      </w:pPr>
      <w:r>
        <w:rPr>
          <w:rFonts w:eastAsia="Times New Roman"/>
        </w:rPr>
        <w:t xml:space="preserve">a) Adı: </w:t>
      </w:r>
      <w:r>
        <w:rPr>
          <w:rStyle w:val="richtext"/>
          <w:rFonts w:eastAsia="Times New Roman"/>
          <w:b/>
          <w:bCs/>
          <w:color w:val="003399"/>
          <w:u w:val="dotted"/>
        </w:rPr>
        <w:t>2024-2025 EĞİTİM ÖĞRETİM YILI İLKÖĞRETİM TAŞIMA HİZMETİ ALIMI</w:t>
      </w:r>
      <w:r>
        <w:rPr>
          <w:rFonts w:eastAsia="Times New Roman"/>
        </w:rPr>
        <w:t xml:space="preserve"> </w:t>
      </w:r>
    </w:p>
    <w:p w14:paraId="7A9F8505" w14:textId="77777777" w:rsidR="00000000" w:rsidRDefault="00000000">
      <w:pPr>
        <w:jc w:val="both"/>
        <w:divId w:val="495456664"/>
      </w:pPr>
      <w:r>
        <w:t xml:space="preserve">b) Türü: Hizmet alımı </w:t>
      </w:r>
    </w:p>
    <w:p w14:paraId="54BEFD89" w14:textId="77777777" w:rsidR="00000000" w:rsidRDefault="00000000">
      <w:pPr>
        <w:jc w:val="both"/>
        <w:divId w:val="495456664"/>
      </w:pPr>
      <w:r>
        <w:t>c) İlgili Uygulama Yönetmeliği: Hizmet Alımı İhaleleri Uygulama Yönetmeliği</w:t>
      </w:r>
    </w:p>
    <w:p w14:paraId="3E116030" w14:textId="77777777" w:rsidR="00000000" w:rsidRDefault="00000000">
      <w:pPr>
        <w:jc w:val="both"/>
        <w:divId w:val="295380835"/>
        <w:rPr>
          <w:rFonts w:eastAsia="Times New Roman"/>
        </w:rPr>
      </w:pPr>
      <w:r>
        <w:rPr>
          <w:rFonts w:eastAsia="Times New Roman"/>
        </w:rPr>
        <w:t xml:space="preserve">ç) Yatırım proje no'su (yapım işlerinde): Bu madde boş bırakılmıştır. </w:t>
      </w:r>
    </w:p>
    <w:p w14:paraId="3BA3EF19" w14:textId="77777777" w:rsidR="00000000" w:rsidRDefault="00000000">
      <w:pPr>
        <w:jc w:val="both"/>
        <w:divId w:val="503323515"/>
        <w:rPr>
          <w:rFonts w:eastAsia="Times New Roman"/>
        </w:rPr>
      </w:pPr>
      <w:r>
        <w:rPr>
          <w:rFonts w:eastAsia="Times New Roman"/>
        </w:rPr>
        <w:t xml:space="preserve">d) Kodu: </w:t>
      </w:r>
    </w:p>
    <w:p w14:paraId="1B186DDF" w14:textId="77777777" w:rsidR="00000000" w:rsidRDefault="00000000">
      <w:pPr>
        <w:jc w:val="both"/>
        <w:divId w:val="195625187"/>
        <w:rPr>
          <w:rFonts w:eastAsia="Times New Roman"/>
        </w:rPr>
      </w:pPr>
      <w:r>
        <w:rPr>
          <w:rFonts w:eastAsia="Times New Roman"/>
        </w:rPr>
        <w:t xml:space="preserve">e) Miktarı: </w:t>
      </w:r>
    </w:p>
    <w:p w14:paraId="133BCB0C" w14:textId="77777777" w:rsidR="00000000" w:rsidRDefault="00000000">
      <w:pPr>
        <w:jc w:val="both"/>
        <w:divId w:val="195625187"/>
        <w:rPr>
          <w:rStyle w:val="richtext"/>
          <w:b/>
          <w:bCs/>
          <w:color w:val="003399"/>
          <w:u w:val="dotted"/>
        </w:rPr>
      </w:pPr>
      <w:r>
        <w:rPr>
          <w:rStyle w:val="richtext"/>
          <w:b/>
          <w:bCs/>
          <w:color w:val="003399"/>
          <w:u w:val="dotted"/>
        </w:rPr>
        <w:t>465 İLK VE ORTAOKUL ÖĞRENCİSİNİ 181 İŞ GÜNÜ 49 ARAÇLA TAŞIMA İŞİ</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000000" w14:paraId="4B3BDC7B" w14:textId="77777777">
        <w:trPr>
          <w:divId w:val="195625187"/>
          <w:tblCellSpacing w:w="7" w:type="dxa"/>
        </w:trPr>
        <w:tc>
          <w:tcPr>
            <w:tcW w:w="0" w:type="auto"/>
            <w:tcBorders>
              <w:top w:val="nil"/>
              <w:left w:val="nil"/>
              <w:bottom w:val="nil"/>
              <w:right w:val="nil"/>
            </w:tcBorders>
            <w:vAlign w:val="center"/>
            <w:hideMark/>
          </w:tcPr>
          <w:p w14:paraId="77E94653" w14:textId="77777777" w:rsidR="00000000" w:rsidRDefault="00000000">
            <w:pPr>
              <w:overflowPunct/>
              <w:autoSpaceDE/>
              <w:autoSpaceDN/>
              <w:jc w:val="center"/>
              <w:rPr>
                <w:rFonts w:eastAsia="Times New Roman"/>
                <w:color w:val="auto"/>
              </w:rPr>
            </w:pPr>
            <w:r>
              <w:rPr>
                <w:rFonts w:eastAsia="Times New Roman"/>
                <w:color w:val="auto"/>
              </w:rPr>
              <w:t>TAŞIMA YAPILACAK KISIMLAR</w:t>
            </w:r>
          </w:p>
        </w:tc>
      </w:tr>
      <w:tr w:rsidR="00000000" w14:paraId="0309B9CD" w14:textId="77777777">
        <w:trPr>
          <w:divId w:val="19562518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863E1D" w14:textId="77777777" w:rsidR="00000000" w:rsidRDefault="00000000">
            <w:pPr>
              <w:overflowPunct/>
              <w:autoSpaceDE/>
              <w:autoSpaceDN/>
              <w:spacing w:before="100" w:beforeAutospacing="1" w:after="100" w:afterAutospacing="1"/>
              <w:rPr>
                <w:color w:val="003399"/>
              </w:rPr>
            </w:pPr>
            <w:r>
              <w:rPr>
                <w:color w:val="003399"/>
              </w:rPr>
              <w:t>1 ATATÜRK İLKOKULU VE ORTAOKULU Akpınar Köyü   23,5 KM 11 öğrenci 14  lik araçla</w:t>
            </w:r>
            <w:r>
              <w:rPr>
                <w:color w:val="003399"/>
              </w:rPr>
              <w:br/>
              <w:t>2 ATATÜRK İLKOKULU VE ORTAOKULU Avcılar Köyü  21 KM 7 öğrenci 12 lik araçla</w:t>
            </w:r>
            <w:r>
              <w:rPr>
                <w:color w:val="003399"/>
              </w:rPr>
              <w:br/>
              <w:t>3 ATATÜRK İLKOKULU VE ORTAOKULU Civan Köyü 12  KM 10 öğrenci 12  lik  araçla</w:t>
            </w:r>
            <w:r>
              <w:rPr>
                <w:color w:val="003399"/>
              </w:rPr>
              <w:br/>
              <w:t>4 ATATÜRK İLKOKULU VE ORTAOKULU Taraklı Köyü   22,5 KM  6 öğrenci 12 lik araçla</w:t>
            </w:r>
            <w:r>
              <w:rPr>
                <w:color w:val="003399"/>
              </w:rPr>
              <w:br/>
              <w:t>5 ATATÜRK İLKOKULU VE ORTAOKULU Zorlu Köyü   Aşağı Mahalle 30 KM 11 öğrenci 12 lik araçla</w:t>
            </w:r>
            <w:r>
              <w:rPr>
                <w:color w:val="003399"/>
              </w:rPr>
              <w:br/>
              <w:t>6 ATATÜRK İLKOKULU VE ORTAOKULU Zorlu Köyü   Aydınlar Mah. Yukarı Mahalle 30 KM 12 öğrenci 12 lik araçla</w:t>
            </w:r>
            <w:r>
              <w:rPr>
                <w:color w:val="003399"/>
              </w:rPr>
              <w:br/>
              <w:t>7 15 TEMMUZ ŞEHİTLERİ İLKOKULU VE ORTAOKULU Demirciler Köyü  Elmalı Mahallesi  14 Öğrenci  14 mlük Araçla</w:t>
            </w:r>
            <w:r>
              <w:rPr>
                <w:color w:val="003399"/>
              </w:rPr>
              <w:br/>
              <w:t>8 15 TEMMUZ ŞEHİTLERİ İLKOKULU VE ORTAOKULU Kaleköy ve düzhanlar petrol Mahallesi  3,5 KM 12 öğernci 14 lük araçla</w:t>
            </w:r>
            <w:r>
              <w:rPr>
                <w:color w:val="003399"/>
              </w:rPr>
              <w:br/>
              <w:t>9 15 TEMMUZ ŞEHİTLERİ İLKOKULU VE ORTAOKULU Kaleköy Topçular Mahallesi 10 KM  11 öğrenci 12 lik araçla</w:t>
            </w:r>
            <w:r>
              <w:rPr>
                <w:color w:val="003399"/>
              </w:rPr>
              <w:br/>
              <w:t>10 15 TEMMUZ ŞEHİTLERİ İLKOKULU VE ORTAOKULU Çifteköprü Köyü Çiftepınar Mah. 11,2 KM 7 öğrenci 12 lik araçla</w:t>
            </w:r>
            <w:r>
              <w:rPr>
                <w:color w:val="003399"/>
              </w:rPr>
              <w:br/>
              <w:t>11 15 TEMMUZ ŞEHİTLERİ İLKOKULU VE ORTAOKULU Demirciler Köyü  Ormanlı Mah. 11 KM 6 Öğrenci 12 lik Araçla</w:t>
            </w:r>
            <w:r>
              <w:rPr>
                <w:color w:val="003399"/>
              </w:rPr>
              <w:br/>
              <w:t>12 CUMHURİYET İLKOKULU VE ORTAOKULU İbrikli Esentepe   7.5 Km 5 öğrenci 12 lik araçla</w:t>
            </w:r>
            <w:r>
              <w:rPr>
                <w:color w:val="003399"/>
              </w:rPr>
              <w:br/>
              <w:t>13 CUMHURİYET İLKOKULU VE ORTAOKULU İbirikli  Kiremitçiler Mah 6 öğrenci 12 lik araçla</w:t>
            </w:r>
            <w:r>
              <w:rPr>
                <w:color w:val="003399"/>
              </w:rPr>
              <w:br/>
            </w:r>
            <w:r>
              <w:rPr>
                <w:color w:val="003399"/>
              </w:rPr>
              <w:lastRenderedPageBreak/>
              <w:t>14 CUMHURİYET İLKOKULU VE ORTAOKULU Arkaköy İlkokul  7  KM 14 öğrenci 14 lik araçla</w:t>
            </w:r>
            <w:r>
              <w:rPr>
                <w:color w:val="003399"/>
              </w:rPr>
              <w:br/>
              <w:t>15 CUMHURİYET İLKOKULU VE ORTAOKULU Arkaköy Ortaokul 8,5 km 9 öğrenci 12 lik araç</w:t>
            </w:r>
            <w:r>
              <w:rPr>
                <w:color w:val="003399"/>
              </w:rPr>
              <w:br/>
              <w:t>16 CUMHURİYET İLKOKULU VE ORTAOKULU Alaca Köyü Orhanlı Mh. 9 öğrenci 10 km 12 lik araç</w:t>
            </w:r>
            <w:r>
              <w:rPr>
                <w:color w:val="003399"/>
              </w:rPr>
              <w:br/>
              <w:t>17 CUMHURİYET İLKOKULU VE ORTAOKULU Alaca Köyü Ortadere mah. 10 km 7 öğrenci 12 lik araç</w:t>
            </w:r>
            <w:r>
              <w:rPr>
                <w:color w:val="003399"/>
              </w:rPr>
              <w:br/>
              <w:t>18 CUMHURİYET İLKOKULU VE ORTAOKULU Kaynarca Köyü Dere Mh. 21 km 9 öğrenci 12 lik araç</w:t>
            </w:r>
            <w:r>
              <w:rPr>
                <w:color w:val="003399"/>
              </w:rPr>
              <w:br/>
              <w:t>19 DÜZKÖY İLKOKULU VE ORTAOKULU Fındıklı Köyü 8 km 14 öğrenci 14 lük araç</w:t>
            </w:r>
            <w:r>
              <w:rPr>
                <w:color w:val="003399"/>
              </w:rPr>
              <w:br/>
              <w:t>20 DÜZKÖY İLKOKULU VE ORTAOKULU Düzköy Cevizli Çat Mh. 5km 13 öğrenci 14 lük araç</w:t>
            </w:r>
            <w:r>
              <w:rPr>
                <w:color w:val="003399"/>
              </w:rPr>
              <w:br/>
              <w:t>21 GÜREŞEN ŞEHİT RESUL KAKŞİ İLKOKULU VE ORTAOKULU Güreşen Köyü Boyalı Kesiktaş Mh 4,2km 3 öğrenci 12 lik araç</w:t>
            </w:r>
            <w:r>
              <w:rPr>
                <w:color w:val="003399"/>
              </w:rPr>
              <w:br/>
              <w:t>22 GÜREŞEN ŞEHİT RESUL KAKŞİ İLKOKULU VE ORTAOKULU Çaylı Köyü Kurşunlu Mah. 4,2 km 2 öğrenci 12 lik araç</w:t>
            </w:r>
            <w:r>
              <w:rPr>
                <w:color w:val="003399"/>
              </w:rPr>
              <w:br/>
              <w:t>23 GÜREŞEN ŞEHİT RESUL KAKŞİ İLKOKULU VE ORTAOKULU Gğreşen Köyü Madenli Mh. 4,7 km 6öğrenci12 lik araç</w:t>
            </w:r>
            <w:r>
              <w:rPr>
                <w:color w:val="003399"/>
              </w:rPr>
              <w:br/>
              <w:t>24 GÜREŞEN ŞEHİT RESUL KAKŞİ İLKOKULU VE ORTAOKULU Boğazköy Köyü 7,6km 13 öğrenci 14lük araç</w:t>
            </w:r>
            <w:r>
              <w:rPr>
                <w:color w:val="003399"/>
              </w:rPr>
              <w:br/>
              <w:t>25 GÜREŞEN ŞEHİT RESUL KAKŞİ İLKOKULU VE ORTAOKULU Güreşen Köyü Selimiye 4km 2 öğrenci 12lik araç</w:t>
            </w:r>
            <w:r>
              <w:rPr>
                <w:color w:val="003399"/>
              </w:rPr>
              <w:br/>
              <w:t>26 GÜREŞEN ŞEHİT RESUL KAKŞİ İLKOKULU VE ORTAOKULU Şerefiye Köyü 6,1km 3 öğrenci 12lik araç</w:t>
            </w:r>
            <w:r>
              <w:rPr>
                <w:color w:val="003399"/>
              </w:rPr>
              <w:br/>
              <w:t>27 MURATLI İLKOKULU Çavuşlu Köyü Çermik Mh.10 km 3 öğrenci 12lik araç</w:t>
            </w:r>
            <w:r>
              <w:rPr>
                <w:color w:val="003399"/>
              </w:rPr>
              <w:br/>
              <w:t>28 İMAM HATİP ORTAOKULU Aksu Mh 2.Durak 2,5km 12 öğrenci 12lik araç</w:t>
            </w:r>
            <w:r>
              <w:rPr>
                <w:color w:val="003399"/>
              </w:rPr>
              <w:br/>
              <w:t>29 İMAM HATİP ORTAOKULU Aksu Mh. 1.durak 2,5km 13 öğrenci 14lük araç</w:t>
            </w:r>
            <w:r>
              <w:rPr>
                <w:color w:val="003399"/>
              </w:rPr>
              <w:br/>
              <w:t>30 İMAM HATİP ORTAOKULU Eski Hopa Yolu Küçükköy Mh. 3km 14 öğrenci 14lük araç</w:t>
            </w:r>
            <w:r>
              <w:rPr>
                <w:color w:val="003399"/>
              </w:rPr>
              <w:br/>
              <w:t>31 İMAM HATİP ORTAOKULU Aydınlar Mh 2.Durak 2km 13 çğrenci 14lük araç</w:t>
            </w:r>
            <w:r>
              <w:rPr>
                <w:color w:val="003399"/>
              </w:rPr>
              <w:br/>
              <w:t>32 İMAM HATİP ORTAOKULU Ydınlar Mh. Maradit cad. 1.Durak 2,5km 14 öğrenci 14lük araç</w:t>
            </w:r>
            <w:r>
              <w:rPr>
                <w:color w:val="003399"/>
              </w:rPr>
              <w:br/>
              <w:t>33 İMAM HATİP ORTAOKULU Ydınlar Alt ve Üst Mh 2km 4 öğrenci 12lik araç</w:t>
            </w:r>
            <w:r>
              <w:rPr>
                <w:color w:val="003399"/>
              </w:rPr>
              <w:br/>
              <w:t>34 İMAM HATİP ORTAOKULU Güneşli Köyü 30km 5 öğrenci 12lik araçla</w:t>
            </w:r>
            <w:r>
              <w:rPr>
                <w:color w:val="003399"/>
              </w:rPr>
              <w:br/>
              <w:t>35 İMAM HATİP ORTAOKULU Demirciler Köyü kaleköy hopa yolu kestanelik 12km 4 öğrenci 12lik araç</w:t>
            </w:r>
            <w:r>
              <w:rPr>
                <w:color w:val="003399"/>
              </w:rPr>
              <w:br/>
              <w:t>36 YENİYOL İLKOKULU VE ORTAOKULU Eski hopa yolu 2km 14 öğrenci 14lük araç</w:t>
            </w:r>
            <w:r>
              <w:rPr>
                <w:color w:val="003399"/>
              </w:rPr>
              <w:br/>
              <w:t>37 YENİYOL İLKOKULU VE ORTAOKULU Kasacılar Dereiçi Eski Hopa Yolu 3,5 km 15 öğrenci 16lık araç</w:t>
            </w:r>
            <w:r>
              <w:rPr>
                <w:color w:val="003399"/>
              </w:rPr>
              <w:br/>
              <w:t>38 YENİYOL İLKOKULU VE ORTAOKULU Küçükköy Dakvara 6,5km 14 öğrenci 14lük araç</w:t>
            </w:r>
            <w:r>
              <w:rPr>
                <w:color w:val="003399"/>
              </w:rPr>
              <w:br/>
              <w:t>39 YENİYOL İLKOKULU VE ORTAOKULU Dereiçi Kasacılar 2,7km 12 öğrenci 14lük araç</w:t>
            </w:r>
            <w:r>
              <w:rPr>
                <w:color w:val="003399"/>
              </w:rPr>
              <w:br/>
            </w:r>
            <w:r>
              <w:rPr>
                <w:color w:val="003399"/>
              </w:rPr>
              <w:lastRenderedPageBreak/>
              <w:t>40 YENİYOL İLKOKULU VE ORTAOKULU Küçükköy Magunacılar Mh. 5,5km 13 öğrenci 14lük araç</w:t>
            </w:r>
            <w:r>
              <w:rPr>
                <w:color w:val="003399"/>
              </w:rPr>
              <w:br/>
              <w:t>41 YENİYOL İLKOKULU VE ORTAOKULU Örücüler Köyü Yılancılar Şehitlik Mh. 13,5km 12 öğrenci 12lik araç</w:t>
            </w:r>
            <w:r>
              <w:rPr>
                <w:color w:val="003399"/>
              </w:rPr>
              <w:br/>
              <w:t>42 KARŞIKÖY İLKOKULU VE ORTAOKULU Çükur Tektaş Mh. 11km 11 öğrenci 12lik araç</w:t>
            </w:r>
            <w:r>
              <w:rPr>
                <w:color w:val="003399"/>
              </w:rPr>
              <w:br/>
              <w:t>43 KARŞIKÖY İLKOKULU VE ORTAOKULU Güneşli Köyü 18km 10 öğrenci 12lik araç</w:t>
            </w:r>
            <w:r>
              <w:rPr>
                <w:color w:val="003399"/>
              </w:rPr>
              <w:br/>
              <w:t>44 KARŞIKÖY İLKOKULU VE ORTAOKULU Kayadibi Köyü 14km 14 öğrenci 14lük araç</w:t>
            </w:r>
            <w:r>
              <w:rPr>
                <w:color w:val="003399"/>
              </w:rPr>
              <w:br/>
              <w:t>45 KARŞIKÖY İLKOKULU VE ORTAOKULU Güzelyurt Köyü 17km 6 öğrenci 12lik araç</w:t>
            </w:r>
            <w:r>
              <w:rPr>
                <w:color w:val="003399"/>
              </w:rPr>
              <w:br/>
              <w:t>46 MEHMET AKİF ERSOY İLKOKULU VE ORTAOKULU Aydınlar Mh. 1.durak 2,5km 10 öğrenci 14lük araç</w:t>
            </w:r>
            <w:r>
              <w:rPr>
                <w:color w:val="003399"/>
              </w:rPr>
              <w:br/>
              <w:t>47 MEHMET AKİF ERSOY İLKOKULU VE ORTAOKULU Aydınlar Mh. 2.durak 2,5km 9 öğrenci 14lük araç</w:t>
            </w:r>
            <w:r>
              <w:rPr>
                <w:color w:val="003399"/>
              </w:rPr>
              <w:br/>
              <w:t>48 MEHMET AKİF ERSOY İLKOKULU VE ORTAOKULU Aydınlar Mh Kurtuluşlar Mh. 2,5km 9 öğrenci 12lik araç</w:t>
            </w:r>
            <w:r>
              <w:rPr>
                <w:color w:val="003399"/>
              </w:rPr>
              <w:br/>
              <w:t>49 MEHMET AKİF ERSOY İLKOKULU VE ORTAOKULU Atanoğlu ve Aralık Köyleri Taşlıtarla 22km 12 öğrenci 14lük araç</w:t>
            </w:r>
          </w:p>
        </w:tc>
      </w:tr>
    </w:tbl>
    <w:p w14:paraId="2729AA17" w14:textId="77777777" w:rsidR="00000000" w:rsidRDefault="00000000">
      <w:pPr>
        <w:spacing w:before="100" w:beforeAutospacing="1" w:after="100" w:afterAutospacing="1"/>
        <w:jc w:val="both"/>
        <w:divId w:val="195625187"/>
        <w:rPr>
          <w:color w:val="003399"/>
        </w:rPr>
      </w:pPr>
      <w:r>
        <w:rPr>
          <w:b/>
          <w:bCs/>
          <w:color w:val="003399"/>
          <w:u w:val="dotted"/>
        </w:rPr>
        <w:lastRenderedPageBreak/>
        <w:t> </w:t>
      </w:r>
    </w:p>
    <w:p w14:paraId="046F0C2D" w14:textId="77777777" w:rsidR="00000000" w:rsidRDefault="00000000">
      <w:pPr>
        <w:jc w:val="both"/>
        <w:divId w:val="195625187"/>
      </w:pPr>
      <w:r>
        <w:t>Ayrıntılı bilgi idari şartnamenin ekinde yer almaktadır.</w:t>
      </w:r>
    </w:p>
    <w:p w14:paraId="3332E055" w14:textId="77777777" w:rsidR="00000000" w:rsidRDefault="00000000">
      <w:pPr>
        <w:jc w:val="both"/>
        <w:divId w:val="2134639916"/>
        <w:rPr>
          <w:rStyle w:val="richtext"/>
          <w:rFonts w:eastAsia="Times New Roman"/>
          <w:b/>
          <w:bCs/>
          <w:color w:val="003399"/>
          <w:u w:val="dotted"/>
        </w:rPr>
      </w:pPr>
      <w:r>
        <w:rPr>
          <w:rFonts w:eastAsia="Times New Roman"/>
        </w:rPr>
        <w:t xml:space="preserve">f) İşin yapılacağı/malın teslim edileceği yer: </w:t>
      </w:r>
    </w:p>
    <w:p w14:paraId="41D4E962" w14:textId="77777777" w:rsidR="00000000" w:rsidRDefault="00000000">
      <w:pPr>
        <w:divId w:val="2134639916"/>
      </w:pPr>
      <w:r>
        <w:rPr>
          <w:rFonts w:eastAsia="Times New Roman"/>
          <w:b/>
          <w:bCs/>
          <w:color w:val="003399"/>
          <w:u w:val="dotted"/>
        </w:rPr>
        <w:t>CUMHURİYET İLKOKULU VE ORTAOKULU</w:t>
      </w:r>
      <w:r>
        <w:rPr>
          <w:rFonts w:eastAsia="Times New Roman"/>
          <w:b/>
          <w:bCs/>
          <w:color w:val="003399"/>
          <w:u w:val="dotted"/>
        </w:rPr>
        <w:br/>
        <w:t>DÜZKÖY İLKOKULU VE ORTAOKULU</w:t>
      </w:r>
      <w:r>
        <w:rPr>
          <w:rFonts w:eastAsia="Times New Roman"/>
          <w:b/>
          <w:bCs/>
          <w:color w:val="003399"/>
          <w:u w:val="dotted"/>
        </w:rPr>
        <w:br/>
        <w:t>GÜREŞEN ŞEHİT RESUL KAKŞİ İLKOKULU VE ORTAOKULU</w:t>
      </w:r>
      <w:r>
        <w:rPr>
          <w:rFonts w:eastAsia="Times New Roman"/>
          <w:b/>
          <w:bCs/>
          <w:color w:val="003399"/>
          <w:u w:val="dotted"/>
        </w:rPr>
        <w:br/>
        <w:t>MURATLI İLKOKULU</w:t>
      </w:r>
      <w:r>
        <w:rPr>
          <w:rFonts w:eastAsia="Times New Roman"/>
          <w:b/>
          <w:bCs/>
          <w:color w:val="003399"/>
          <w:u w:val="dotted"/>
        </w:rPr>
        <w:br/>
        <w:t>İMAM HATİP ORTAOKULU</w:t>
      </w:r>
      <w:r>
        <w:rPr>
          <w:rFonts w:eastAsia="Times New Roman"/>
          <w:b/>
          <w:bCs/>
          <w:color w:val="003399"/>
          <w:u w:val="dotted"/>
        </w:rPr>
        <w:br/>
        <w:t>YENİYOL İLKOKULU VE ORTAOKULU</w:t>
      </w:r>
      <w:r>
        <w:rPr>
          <w:rFonts w:eastAsia="Times New Roman"/>
          <w:b/>
          <w:bCs/>
          <w:color w:val="003399"/>
          <w:u w:val="dotted"/>
        </w:rPr>
        <w:br/>
        <w:t>KARŞIKÖY İLKOKULU VE ORTAOKULU</w:t>
      </w:r>
      <w:r>
        <w:rPr>
          <w:rFonts w:eastAsia="Times New Roman"/>
          <w:b/>
          <w:bCs/>
          <w:color w:val="003399"/>
          <w:u w:val="dotted"/>
        </w:rPr>
        <w:br/>
        <w:t>MEHMET AKİF ERSOY İLKOKULU VE ORTAOKULU</w:t>
      </w:r>
    </w:p>
    <w:p w14:paraId="200A198A" w14:textId="77777777" w:rsidR="00000000" w:rsidRDefault="00000000">
      <w:pPr>
        <w:spacing w:before="120"/>
        <w:jc w:val="both"/>
      </w:pPr>
      <w:r>
        <w:rPr>
          <w:b/>
          <w:bCs/>
          <w:color w:val="auto"/>
        </w:rPr>
        <w:t>Madde 3 - İhaleye ilişkin bilgiler</w:t>
      </w:r>
    </w:p>
    <w:p w14:paraId="3E827ACE" w14:textId="77777777" w:rsidR="00000000" w:rsidRDefault="00000000">
      <w:pPr>
        <w:jc w:val="both"/>
      </w:pPr>
      <w:r>
        <w:rPr>
          <w:b/>
          <w:bCs/>
        </w:rPr>
        <w:t>3.1.</w:t>
      </w:r>
      <w:r>
        <w:t xml:space="preserve"> </w:t>
      </w:r>
    </w:p>
    <w:p w14:paraId="2EAE091A" w14:textId="77777777" w:rsidR="00000000" w:rsidRDefault="00000000">
      <w:pPr>
        <w:jc w:val="both"/>
        <w:divId w:val="1693413567"/>
        <w:rPr>
          <w:rFonts w:eastAsia="Times New Roman"/>
        </w:rPr>
      </w:pPr>
      <w:r>
        <w:rPr>
          <w:rFonts w:eastAsia="Times New Roman"/>
        </w:rPr>
        <w:t xml:space="preserve">a) İhale kayıt numarası: </w:t>
      </w:r>
      <w:r>
        <w:rPr>
          <w:rStyle w:val="richtext"/>
          <w:rFonts w:eastAsia="Times New Roman"/>
          <w:b/>
          <w:bCs/>
          <w:color w:val="003399"/>
          <w:u w:val="dotted"/>
        </w:rPr>
        <w:t>2024/968124</w:t>
      </w:r>
      <w:r>
        <w:rPr>
          <w:rFonts w:eastAsia="Times New Roman"/>
        </w:rPr>
        <w:t xml:space="preserve"> </w:t>
      </w:r>
    </w:p>
    <w:p w14:paraId="65A0033C" w14:textId="77777777" w:rsidR="00000000" w:rsidRDefault="00000000">
      <w:pPr>
        <w:jc w:val="both"/>
        <w:divId w:val="1693413567"/>
      </w:pPr>
      <w:r>
        <w:t xml:space="preserve">b) İhale usulü: Açık ihale. </w:t>
      </w:r>
    </w:p>
    <w:p w14:paraId="46A8F800" w14:textId="77777777" w:rsidR="00000000" w:rsidRDefault="00000000">
      <w:pPr>
        <w:jc w:val="both"/>
        <w:divId w:val="1693413567"/>
      </w:pPr>
      <w:r>
        <w:t xml:space="preserve">c) İhale (son teklif verme) tarihi ve saati: </w:t>
      </w:r>
      <w:r>
        <w:rPr>
          <w:rStyle w:val="richtext"/>
          <w:b/>
          <w:bCs/>
          <w:color w:val="003399"/>
          <w:u w:val="dotted"/>
        </w:rPr>
        <w:t>20.08.2024</w:t>
      </w:r>
      <w:r>
        <w:t xml:space="preserve"> </w:t>
      </w:r>
    </w:p>
    <w:p w14:paraId="5B3F04B8" w14:textId="77777777" w:rsidR="00000000" w:rsidRDefault="00000000">
      <w:pPr>
        <w:jc w:val="both"/>
        <w:divId w:val="1693413567"/>
      </w:pPr>
      <w:r>
        <w:t xml:space="preserve">Saat: </w:t>
      </w:r>
      <w:r>
        <w:rPr>
          <w:rStyle w:val="richtext"/>
          <w:b/>
          <w:bCs/>
          <w:color w:val="003399"/>
          <w:u w:val="dotted"/>
        </w:rPr>
        <w:t>15:00</w:t>
      </w:r>
      <w:r>
        <w:t xml:space="preserve"> </w:t>
      </w:r>
    </w:p>
    <w:p w14:paraId="1BA4F631" w14:textId="77777777" w:rsidR="00000000" w:rsidRDefault="00000000">
      <w:pPr>
        <w:jc w:val="both"/>
        <w:divId w:val="1693413567"/>
      </w:pPr>
      <w:r>
        <w:t xml:space="preserve">ç) İhale komisyonunun toplantı yeri (e-tekliflerin açılacağı adres): </w:t>
      </w:r>
      <w:r>
        <w:rPr>
          <w:rStyle w:val="richtext"/>
          <w:b/>
          <w:bCs/>
          <w:color w:val="003399"/>
          <w:u w:val="dotted"/>
        </w:rPr>
        <w:t>BORÇKA MİLLİ EĞİTİM MÜDÜRLÜĞÜ ŞUBE MÜDÜR ODASI</w:t>
      </w:r>
    </w:p>
    <w:p w14:paraId="22856622" w14:textId="77777777" w:rsidR="00000000" w:rsidRDefault="00000000">
      <w:pPr>
        <w:jc w:val="both"/>
      </w:pPr>
      <w:r>
        <w:rPr>
          <w:b/>
          <w:bCs/>
        </w:rPr>
        <w:t>3.2.</w:t>
      </w:r>
      <w:r>
        <w:t xml:space="preserve"> Teklifler, ihale (son teklif verme) tarih ve saatine kadar EKAP üzerinden e-teklif olarak sunulur. İhale (son teklif verme) saatine kadar EKAP'a yüklenemeyen teklifler değerlendirmeye alınmaz. </w:t>
      </w:r>
    </w:p>
    <w:p w14:paraId="72ABDFE5" w14:textId="77777777" w:rsidR="00000000" w:rsidRDefault="00000000">
      <w:pPr>
        <w:jc w:val="both"/>
      </w:pPr>
      <w:r>
        <w:rPr>
          <w:b/>
          <w:bCs/>
        </w:rPr>
        <w:t>3.3.</w:t>
      </w:r>
      <w:r>
        <w:t xml:space="preserve"> Verilen teklifler, zeyilname düzenlenmesi hali hariç, herhangi bir sebeple geri alınamaz. </w:t>
      </w:r>
    </w:p>
    <w:p w14:paraId="46B94136" w14:textId="77777777" w:rsidR="00000000" w:rsidRDefault="00000000">
      <w:pPr>
        <w:jc w:val="both"/>
      </w:pPr>
      <w:r>
        <w:rPr>
          <w:b/>
          <w:bCs/>
        </w:rPr>
        <w:t>3.4.</w:t>
      </w:r>
      <w:r>
        <w:t xml:space="preserve"> İhale tarihinin tatil gününe rastlaması halinde ihale, takip eden ilk iş gününde yukarıda belirtilen yer ve saatte yapılır ve bu saate kadar verilen teklifler kabul edilir. </w:t>
      </w:r>
    </w:p>
    <w:p w14:paraId="4C07998C" w14:textId="77777777" w:rsidR="00000000" w:rsidRDefault="00000000">
      <w:pPr>
        <w:jc w:val="both"/>
      </w:pPr>
      <w:r>
        <w:rPr>
          <w:b/>
          <w:bCs/>
        </w:rPr>
        <w:t>3.5.</w:t>
      </w:r>
      <w:r>
        <w:t xml:space="preserve"> İlan tarihinden sonra çalışma saatlerinin değişmesi halinde de ihale yukarıda belirtilen saatte yapılır. </w:t>
      </w:r>
    </w:p>
    <w:p w14:paraId="5A9A5D09" w14:textId="77777777" w:rsidR="00000000" w:rsidRDefault="00000000">
      <w:pPr>
        <w:jc w:val="both"/>
      </w:pPr>
      <w:r>
        <w:rPr>
          <w:b/>
          <w:bCs/>
        </w:rPr>
        <w:t>3.6.</w:t>
      </w:r>
      <w:r>
        <w:t xml:space="preserve"> Saat ayarlarında, TÜBİTAK Ulusal Metroloji Enstitüsü tarafından zamanı en az hatayla ölçmek üzere kullanılan atom saati esas alınır. </w:t>
      </w:r>
    </w:p>
    <w:p w14:paraId="6EEFFF8D" w14:textId="77777777" w:rsidR="00000000" w:rsidRDefault="00000000">
      <w:pPr>
        <w:spacing w:before="120"/>
        <w:jc w:val="both"/>
      </w:pPr>
      <w:r>
        <w:rPr>
          <w:b/>
          <w:bCs/>
          <w:color w:val="auto"/>
        </w:rPr>
        <w:t>Madde 4 - İhale dokümanının görülmesi ve temini ile EKAP'a kayıt zorunluluğu</w:t>
      </w:r>
    </w:p>
    <w:p w14:paraId="082BC9E6" w14:textId="77777777" w:rsidR="00000000" w:rsidRDefault="00000000">
      <w:pPr>
        <w:jc w:val="both"/>
      </w:pPr>
      <w:r>
        <w:rPr>
          <w:b/>
          <w:bCs/>
        </w:rPr>
        <w:lastRenderedPageBreak/>
        <w:t>4.1.</w:t>
      </w:r>
      <w:r>
        <w:t xml:space="preserve"> İhale dokümanı EKAP üzerinden bedelsiz olarak görülebilir. İhaleye teklif verecek olanların, e-imza kullanarak veya Kurumca belirlenecek diğer elektronik yöntemlerden birisi ile EKAP üzerinden ihale dokümanını indirmeleri zorunludur. </w:t>
      </w:r>
    </w:p>
    <w:p w14:paraId="12ED31D5" w14:textId="77777777" w:rsidR="00000000" w:rsidRDefault="00000000">
      <w:pPr>
        <w:jc w:val="both"/>
      </w:pPr>
      <w:r>
        <w:t xml:space="preserve">İhale dokümanının görülüp indirilebileceği internet sayfası: https://ekap.kik.gov.tr/EKAP/ </w:t>
      </w:r>
    </w:p>
    <w:p w14:paraId="309D717A" w14:textId="77777777" w:rsidR="00000000" w:rsidRDefault="00000000">
      <w:pPr>
        <w:jc w:val="both"/>
      </w:pPr>
      <w:r>
        <w:rPr>
          <w:b/>
          <w:bCs/>
        </w:rPr>
        <w:t>4.2.</w:t>
      </w:r>
      <w:r>
        <w:t xml:space="preserve"> İsteklinin ortak girişim olması halinde, ortaklardan herhangi birinin dokümanı indirmesi yeterlidir. </w:t>
      </w:r>
    </w:p>
    <w:p w14:paraId="23171888" w14:textId="77777777" w:rsidR="00000000" w:rsidRDefault="00000000">
      <w:pPr>
        <w:jc w:val="both"/>
      </w:pPr>
      <w:r>
        <w:rPr>
          <w:b/>
          <w:bCs/>
        </w:rPr>
        <w:t>4.3.</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4814F09F" w14:textId="77777777" w:rsidR="00000000" w:rsidRDefault="00000000">
      <w:pPr>
        <w:jc w:val="both"/>
      </w:pPr>
      <w:r>
        <w:rPr>
          <w:b/>
          <w:bCs/>
        </w:rPr>
        <w:t>4.4.</w:t>
      </w:r>
      <w:r>
        <w:t xml:space="preserve"> Adına ihale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gerekir. </w:t>
      </w:r>
    </w:p>
    <w:p w14:paraId="665FEE15" w14:textId="77777777" w:rsidR="00000000" w:rsidRDefault="00000000">
      <w:pPr>
        <w:spacing w:before="120"/>
        <w:jc w:val="both"/>
      </w:pPr>
      <w:r>
        <w:rPr>
          <w:b/>
          <w:bCs/>
          <w:color w:val="auto"/>
        </w:rPr>
        <w:t>Madde 5- İhale dokümanının kapsamı</w:t>
      </w:r>
    </w:p>
    <w:p w14:paraId="093D922B" w14:textId="77777777" w:rsidR="00000000" w:rsidRDefault="00000000">
      <w:pPr>
        <w:jc w:val="both"/>
      </w:pPr>
      <w:r>
        <w:rPr>
          <w:b/>
          <w:bCs/>
        </w:rPr>
        <w:t>5.1.</w:t>
      </w:r>
      <w:r>
        <w:t xml:space="preserve"> İhale dokümanı aşağıdaki belgelerden oluşmaktadır: </w:t>
      </w:r>
    </w:p>
    <w:p w14:paraId="1A1D3CBD" w14:textId="77777777" w:rsidR="00000000" w:rsidRDefault="00000000">
      <w:pPr>
        <w:jc w:val="both"/>
        <w:divId w:val="2132430559"/>
        <w:rPr>
          <w:rFonts w:eastAsia="Times New Roman"/>
        </w:rPr>
      </w:pPr>
      <w:r>
        <w:rPr>
          <w:rFonts w:eastAsia="Times New Roman"/>
        </w:rPr>
        <w:t xml:space="preserve">a) İdari Şartname, </w:t>
      </w:r>
    </w:p>
    <w:p w14:paraId="6EAFCC37" w14:textId="77777777" w:rsidR="00000000" w:rsidRDefault="00000000">
      <w:pPr>
        <w:jc w:val="both"/>
        <w:divId w:val="2132430559"/>
      </w:pPr>
      <w:r>
        <w:t xml:space="preserve">b) Teknik Şartname, </w:t>
      </w:r>
    </w:p>
    <w:p w14:paraId="693A449A" w14:textId="77777777" w:rsidR="00000000" w:rsidRDefault="00000000">
      <w:pPr>
        <w:jc w:val="both"/>
        <w:divId w:val="2132430559"/>
      </w:pPr>
      <w:r>
        <w:t xml:space="preserve">c) Sözleşme Tasarısı, </w:t>
      </w:r>
    </w:p>
    <w:p w14:paraId="7B66B410" w14:textId="77777777" w:rsidR="00000000" w:rsidRDefault="00000000">
      <w:pPr>
        <w:jc w:val="both"/>
        <w:divId w:val="2132430559"/>
      </w:pPr>
      <w:r>
        <w:t xml:space="preserve">ç) Hizmet İşleri Genel Şartnamesi, </w:t>
      </w:r>
    </w:p>
    <w:p w14:paraId="2E16CE23" w14:textId="77777777" w:rsidR="00000000" w:rsidRDefault="00000000">
      <w:pPr>
        <w:jc w:val="both"/>
        <w:divId w:val="2132430559"/>
        <w:rPr>
          <w:rStyle w:val="richtext"/>
          <w:b/>
          <w:bCs/>
          <w:color w:val="003399"/>
          <w:u w:val="dotted"/>
        </w:rPr>
      </w:pPr>
      <w:r>
        <w:t xml:space="preserve">d) Standart formlar, </w:t>
      </w:r>
    </w:p>
    <w:p w14:paraId="3BEEE62A" w14:textId="77777777" w:rsidR="00000000" w:rsidRDefault="00000000">
      <w:pPr>
        <w:divId w:val="2132430559"/>
        <w:rPr>
          <w:rFonts w:eastAsia="Times New Roman"/>
        </w:rPr>
      </w:pPr>
      <w:r>
        <w:rPr>
          <w:rFonts w:eastAsia="Times New Roman"/>
          <w:b/>
          <w:bCs/>
          <w:color w:val="003399"/>
          <w:u w:val="dotted"/>
        </w:rPr>
        <w:t xml:space="preserve">Standart Form-KİK015.5B/EKAP-H: Birim Fiyat Teklif Mektubu, </w:t>
      </w:r>
      <w:r>
        <w:rPr>
          <w:rFonts w:eastAsia="Times New Roman"/>
          <w:b/>
          <w:bCs/>
          <w:color w:val="003399"/>
          <w:u w:val="dotted"/>
        </w:rPr>
        <w:br/>
        <w:t xml:space="preserve">Standart Form-KİK0015.5B/EKAP-H: Birim Fiyat Teklif Cetveli, </w:t>
      </w:r>
      <w:r>
        <w:rPr>
          <w:rFonts w:eastAsia="Times New Roman"/>
          <w:b/>
          <w:bCs/>
          <w:color w:val="003399"/>
          <w:u w:val="dotted"/>
        </w:rPr>
        <w:br/>
        <w:t xml:space="preserve">Standart Form-KİK015.5BO/EKAP-H: İş Ortaklığı Beyannamesi, </w:t>
      </w:r>
      <w:r>
        <w:rPr>
          <w:rFonts w:eastAsia="Times New Roman"/>
          <w:b/>
          <w:bCs/>
          <w:color w:val="003399"/>
          <w:u w:val="dotted"/>
        </w:rPr>
        <w:br/>
        <w:t xml:space="preserve">Standart Form-KİK015.5BY/EKAP-H: Yeterlik Bilgileri Tablosu, </w:t>
      </w:r>
      <w:r>
        <w:rPr>
          <w:rFonts w:eastAsia="Times New Roman"/>
          <w:b/>
          <w:bCs/>
          <w:color w:val="003399"/>
          <w:u w:val="dotted"/>
        </w:rPr>
        <w:br/>
        <w:t xml:space="preserve">Standart Form-KİK051.2/EKAP_H: Geçici Teminat Bilgileri Formu, </w:t>
      </w:r>
      <w:r>
        <w:rPr>
          <w:rFonts w:eastAsia="Times New Roman"/>
          <w:b/>
          <w:bCs/>
          <w:color w:val="003399"/>
          <w:u w:val="dotted"/>
        </w:rPr>
        <w:br/>
        <w:t xml:space="preserve">Standart Form-KİK024.2/H: Kesin Teminat Mektubu, </w:t>
      </w:r>
      <w:r>
        <w:rPr>
          <w:rFonts w:eastAsia="Times New Roman"/>
          <w:b/>
          <w:bCs/>
          <w:color w:val="003399"/>
          <w:u w:val="dotted"/>
        </w:rPr>
        <w:br/>
        <w:t xml:space="preserve">Standart Form-KİK026.1/H: İş Bitirme Belgesi, </w:t>
      </w:r>
      <w:r>
        <w:rPr>
          <w:rFonts w:eastAsia="Times New Roman"/>
          <w:b/>
          <w:bCs/>
          <w:color w:val="003399"/>
          <w:u w:val="dotted"/>
        </w:rPr>
        <w:br/>
        <w:t xml:space="preserve">Standart Form-KİK026.2/H: Alt yüklenici İş Bitirme Belgesi, </w:t>
      </w:r>
      <w:r>
        <w:rPr>
          <w:rFonts w:eastAsia="Times New Roman"/>
          <w:b/>
          <w:bCs/>
          <w:color w:val="003399"/>
          <w:u w:val="dotted"/>
        </w:rPr>
        <w:br/>
        <w:t xml:space="preserve">Standart Form-KİK027.0/H: Ortaklık Tespit Belgesi, </w:t>
      </w:r>
      <w:r>
        <w:rPr>
          <w:rFonts w:eastAsia="Times New Roman"/>
          <w:b/>
          <w:bCs/>
          <w:color w:val="003399"/>
          <w:u w:val="dotted"/>
        </w:rPr>
        <w:br/>
        <w:t xml:space="preserve">Standart Form-KİK027.1/H: Kanun Kapsamındaki İdarelere Taahhüt Edilenler Dışında Yurt Dışında Gerçekleştirilen İşler İçin Düzenlenen Belgeler Kullanılmasına İlişkin Ortaklık Tespit Belgesi (İdari Şartname madde 7.1.ide belirtilen belge), </w:t>
      </w:r>
      <w:r>
        <w:rPr>
          <w:rFonts w:eastAsia="Times New Roman"/>
          <w:b/>
          <w:bCs/>
          <w:color w:val="003399"/>
          <w:u w:val="dotted"/>
        </w:rPr>
        <w:br/>
        <w:t>Standart Form-KİK024.5/H: Kesin Kefalet Senedi</w:t>
      </w:r>
    </w:p>
    <w:p w14:paraId="57009DBE" w14:textId="77777777" w:rsidR="00000000" w:rsidRDefault="00000000">
      <w:pPr>
        <w:jc w:val="both"/>
        <w:divId w:val="2132430559"/>
      </w:pPr>
      <w:r>
        <w:t xml:space="preserve">e) Bu madde boş bırakılmıştır. </w:t>
      </w:r>
    </w:p>
    <w:p w14:paraId="4DB05C9C" w14:textId="77777777" w:rsidR="00000000" w:rsidRDefault="00000000">
      <w:pPr>
        <w:jc w:val="both"/>
        <w:divId w:val="2132430559"/>
      </w:pPr>
      <w:r>
        <w:t xml:space="preserve">f) </w:t>
      </w:r>
      <w:r>
        <w:rPr>
          <w:rStyle w:val="richtext"/>
          <w:b/>
          <w:bCs/>
          <w:color w:val="003399"/>
          <w:u w:val="dotted"/>
        </w:rPr>
        <w:t>Bu madde boş bırakılmıştır</w:t>
      </w:r>
      <w:r>
        <w:t xml:space="preserve"> </w:t>
      </w:r>
    </w:p>
    <w:p w14:paraId="01DDBDAB" w14:textId="77777777" w:rsidR="00000000" w:rsidRDefault="00000000">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14:paraId="32C1F94D" w14:textId="77777777" w:rsidR="00000000" w:rsidRDefault="00000000">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5685D0F2" w14:textId="77777777" w:rsidR="00000000" w:rsidRDefault="00000000">
      <w:pPr>
        <w:spacing w:before="120"/>
        <w:jc w:val="both"/>
      </w:pPr>
      <w:r>
        <w:rPr>
          <w:b/>
          <w:bCs/>
          <w:color w:val="auto"/>
        </w:rPr>
        <w:t>Madde 6 - Bildirim ve tebligat esasları</w:t>
      </w:r>
    </w:p>
    <w:p w14:paraId="66ADB9D1" w14:textId="77777777" w:rsidR="00000000" w:rsidRDefault="00000000">
      <w:pPr>
        <w:jc w:val="both"/>
      </w:pPr>
      <w:r>
        <w:rPr>
          <w:b/>
          <w:bCs/>
        </w:rPr>
        <w:t>6.1.</w:t>
      </w:r>
      <w:r>
        <w:t xml:space="preserve"> İdare tarafından istekli ve istekli olabileceklere yapılacak bildirim ve tebligatlar, EKAP üzerinden yapılır ve buna ilişkin teyit aranmaz. EKAP üzerinden yapılan bildirim ve tebligatlarda bildirim tarihi, tebliğ tarihi sayılır. Bu yolla yapılan bildirim ve tebligatlar, bildirim tarihi, zamanı ve içeriğini de kapsayacak şekilde EKAP üzerinde kayıt altına alınır. </w:t>
      </w:r>
    </w:p>
    <w:p w14:paraId="31BE61F7" w14:textId="77777777" w:rsidR="00000000" w:rsidRDefault="00000000">
      <w:pPr>
        <w:jc w:val="both"/>
      </w:pPr>
      <w:r>
        <w:rPr>
          <w:b/>
          <w:bCs/>
        </w:rPr>
        <w:t>6.2.</w:t>
      </w:r>
      <w:r>
        <w:t xml:space="preserve"> EKAP üzerinden bildirim ve tebligat, Elektronik İhale Uygulama Yönetmeliğinde belirtilen esas ve usuller çerçevesinde gerçekleştirilir. </w:t>
      </w:r>
    </w:p>
    <w:p w14:paraId="6FC10ECE" w14:textId="77777777" w:rsidR="00000000" w:rsidRDefault="00000000">
      <w:pPr>
        <w:jc w:val="both"/>
      </w:pPr>
      <w:r>
        <w:rPr>
          <w:b/>
          <w:bCs/>
        </w:rPr>
        <w:t>6.3.</w:t>
      </w:r>
      <w:r>
        <w:t xml:space="preserve"> Bildirim ve tebligatın haklı veya zorunlu nedenlerle 6.1 inci maddede belirtilen yöntemler kullanılarak yapılamaması halinde Kanunun 65 inci maddesinin birinci fıkrasının (a) bendinde sayılan diğer yöntemlere başvurulur. </w:t>
      </w:r>
    </w:p>
    <w:p w14:paraId="5C61D903" w14:textId="77777777" w:rsidR="00000000" w:rsidRDefault="00000000">
      <w:pPr>
        <w:jc w:val="both"/>
      </w:pPr>
      <w:r>
        <w:rPr>
          <w:b/>
          <w:bCs/>
        </w:rPr>
        <w:lastRenderedPageBreak/>
        <w:t>6.4.</w:t>
      </w:r>
      <w:r>
        <w:t xml:space="preserve"> İdare tarafından ortak girişimlere yapılacak bildirim ve tebligat, yukarıdaki esaslara göre pilot veya koordinatör ortağa yapılır. </w:t>
      </w:r>
    </w:p>
    <w:p w14:paraId="30CF42C0" w14:textId="77777777" w:rsidR="00000000" w:rsidRDefault="00000000">
      <w:pPr>
        <w:jc w:val="both"/>
      </w:pPr>
      <w:r>
        <w:rPr>
          <w:b/>
          <w:bCs/>
        </w:rPr>
        <w:t>6.5.</w:t>
      </w:r>
      <w:r>
        <w:t xml:space="preserve"> İstekli olabilecekler ile istekliler tarafından idare ile yapılacak yazışmalarda EKAP dışında elektronik ortam ve faks kullanılamaz. </w:t>
      </w:r>
    </w:p>
    <w:p w14:paraId="1A40807E" w14:textId="77777777" w:rsidR="00000000" w:rsidRDefault="00000000">
      <w:pPr>
        <w:pStyle w:val="GvdeMetni"/>
        <w:spacing w:after="120" w:line="240" w:lineRule="auto"/>
        <w:jc w:val="center"/>
      </w:pPr>
      <w:r>
        <w:rPr>
          <w:rFonts w:ascii="Times New Roman" w:hAnsi="Times New Roman" w:cs="Times New Roman"/>
          <w:color w:val="auto"/>
          <w:sz w:val="24"/>
          <w:szCs w:val="24"/>
        </w:rPr>
        <w:t>II - İHALEYE KATILMAYA İLİŞKİN HUSUSLAR</w:t>
      </w:r>
    </w:p>
    <w:p w14:paraId="378E12DA" w14:textId="77777777" w:rsidR="00000000" w:rsidRDefault="00000000">
      <w:pPr>
        <w:spacing w:before="120"/>
        <w:jc w:val="both"/>
      </w:pPr>
      <w:r>
        <w:rPr>
          <w:b/>
          <w:bCs/>
          <w:color w:val="auto"/>
        </w:rPr>
        <w:t>Madde 7- İhaleye katılabilmek için gereken belgeler ve yeterlik kriterleri</w:t>
      </w:r>
    </w:p>
    <w:p w14:paraId="60760E0F" w14:textId="77777777" w:rsidR="00000000" w:rsidRDefault="00000000">
      <w:pPr>
        <w:jc w:val="both"/>
      </w:pPr>
      <w:r>
        <w:rPr>
          <w:b/>
          <w:bCs/>
        </w:rPr>
        <w:t>7.1.</w:t>
      </w:r>
      <w:r>
        <w:t xml:space="preserve"> İsteklilerin ihaleye katılabilmeleri için aşağıda sayılan belgeler ve yeterlik kriterleri ile fiyat dışı unsurlara ilişkin bilgileri e-teklifleri kapsamında beyan etmeleri gerekmektedir. </w:t>
      </w:r>
    </w:p>
    <w:p w14:paraId="2C063FA0" w14:textId="77777777" w:rsidR="00000000" w:rsidRDefault="00000000">
      <w:pPr>
        <w:jc w:val="both"/>
        <w:divId w:val="327944244"/>
        <w:rPr>
          <w:rFonts w:eastAsia="Times New Roman"/>
        </w:rPr>
      </w:pPr>
      <w:r>
        <w:rPr>
          <w:rFonts w:eastAsia="Times New Roman"/>
        </w:rPr>
        <w:t xml:space="preserve">a) Teklif vermeye yetkili olduğunu gösteren bilgiler; </w:t>
      </w:r>
    </w:p>
    <w:p w14:paraId="06C39F5E" w14:textId="77777777" w:rsidR="00000000" w:rsidRDefault="00000000">
      <w:pPr>
        <w:overflowPunct/>
        <w:autoSpaceDE/>
        <w:ind w:firstLine="360"/>
        <w:jc w:val="both"/>
        <w:divId w:val="1317027107"/>
        <w:rPr>
          <w:rFonts w:eastAsia="Times New Roman"/>
        </w:rPr>
      </w:pPr>
      <w:r>
        <w:rPr>
          <w:rFonts w:eastAsia="Times New Roman"/>
        </w:rPr>
        <w:t xml:space="preserve">1) (Mülga: 20/06/2021-31517 R.G./5.md.; yürürlük: 19/08/2021) </w:t>
      </w:r>
    </w:p>
    <w:p w14:paraId="19C57C25" w14:textId="77777777" w:rsidR="00000000" w:rsidRDefault="00000000">
      <w:pPr>
        <w:ind w:firstLine="360"/>
        <w:jc w:val="both"/>
        <w:divId w:val="1317027107"/>
      </w:pPr>
      <w:r>
        <w:t>2) Tüzel kişilerde; isteklilerin yönetimindeki görevliler ile, ilgisine göre, ortaklar ve ortaklık oranlarına (halka arz edilen hisseler hariç)/üyelerine/kurucularına ilişkin bilgiler idarece EKAP'tan alınır.</w:t>
      </w:r>
    </w:p>
    <w:p w14:paraId="48384440" w14:textId="77777777" w:rsidR="00000000" w:rsidRDefault="00000000">
      <w:pPr>
        <w:jc w:val="both"/>
        <w:divId w:val="327944244"/>
      </w:pPr>
      <w:r>
        <w:t xml:space="preserve">b) Bu Şartname ekinde yer alan standart forma uygun teklif mektubu, </w:t>
      </w:r>
    </w:p>
    <w:p w14:paraId="319F168E" w14:textId="77777777" w:rsidR="00000000" w:rsidRDefault="00000000">
      <w:pPr>
        <w:jc w:val="both"/>
        <w:divId w:val="327944244"/>
      </w:pPr>
      <w:r>
        <w:t xml:space="preserve">c) Bu Şartnamede belirlenen geçici teminata ilişkin standart forma uygun geçici teminat mektubu veya geçici teminat mektupları dışındaki teminatların Saymanlık ya da Muhasebe Müdürlüklerine yatırıldığını gösteren makbuzlar. </w:t>
      </w:r>
    </w:p>
    <w:p w14:paraId="3F310E1E" w14:textId="77777777" w:rsidR="00000000" w:rsidRDefault="00000000">
      <w:pPr>
        <w:jc w:val="both"/>
        <w:divId w:val="327944244"/>
      </w:pPr>
      <w:r>
        <w:t xml:space="preserve">ç) Bu Şartnamenin 7.4. ve 7.5. maddelerinde belirtilen, şekli ve içeriği ilgili uygulama yönetmeliklerinde düzenlenen yeterlik belgeleri, </w:t>
      </w:r>
    </w:p>
    <w:p w14:paraId="57F76825" w14:textId="77777777" w:rsidR="00000000" w:rsidRDefault="00000000">
      <w:pPr>
        <w:jc w:val="both"/>
        <w:divId w:val="327944244"/>
      </w:pPr>
      <w:r>
        <w:t xml:space="preserve">d) Vekaleten ihaleye katılma halinde, vekil adına düzenlenmiş, ihaleye katılmaya ilişkin noter onaylı vekaletname. </w:t>
      </w:r>
    </w:p>
    <w:p w14:paraId="496325B6" w14:textId="77777777" w:rsidR="00000000" w:rsidRDefault="00000000">
      <w:pPr>
        <w:jc w:val="both"/>
        <w:divId w:val="972322099"/>
        <w:rPr>
          <w:rFonts w:eastAsia="Times New Roman"/>
        </w:rPr>
      </w:pPr>
      <w:r>
        <w:rPr>
          <w:rFonts w:eastAsia="Times New Roman"/>
        </w:rPr>
        <w:t>e) İsteklinin ortak girişim olması halinde, teklif mektubu standart formu ekinde yer alan iş ortaklığı beyannamesi,</w:t>
      </w:r>
    </w:p>
    <w:p w14:paraId="7BAAA1E3" w14:textId="77777777" w:rsidR="00000000" w:rsidRDefault="00000000">
      <w:pPr>
        <w:jc w:val="both"/>
        <w:divId w:val="1474827694"/>
        <w:rPr>
          <w:rFonts w:eastAsia="Times New Roman"/>
        </w:rPr>
      </w:pPr>
      <w:r>
        <w:rPr>
          <w:rFonts w:eastAsia="Times New Roman"/>
        </w:rPr>
        <w:t xml:space="preserve">f) Alt yüklenici çalıştırılmasına izin verilmesi halinde, isteklinin alt yüklenicilere yaptırmayı düşündüğü işlerin listesi, </w:t>
      </w:r>
    </w:p>
    <w:p w14:paraId="5C117B72" w14:textId="77777777" w:rsidR="00000000" w:rsidRDefault="00000000">
      <w:pPr>
        <w:jc w:val="both"/>
        <w:divId w:val="1474827694"/>
      </w:pPr>
      <w:r>
        <w:t xml:space="preserve">g) Bu madde boş bırakılmıştır. </w:t>
      </w:r>
    </w:p>
    <w:p w14:paraId="25B9B987" w14:textId="77777777" w:rsidR="00000000" w:rsidRDefault="00000000">
      <w:pPr>
        <w:jc w:val="both"/>
        <w:divId w:val="1474827694"/>
      </w:pPr>
      <w:r>
        <w:t xml:space="preserve">ğ) 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610F4635" w14:textId="77777777" w:rsidR="00000000" w:rsidRDefault="00000000">
      <w:pPr>
        <w:jc w:val="both"/>
        <w:divId w:val="1474827694"/>
      </w:pPr>
      <w:r>
        <w:t xml:space="preserve">h) Bu madde boş bırakılmıştır. </w:t>
      </w:r>
    </w:p>
    <w:p w14:paraId="22055B1D" w14:textId="77777777" w:rsidR="00000000" w:rsidRDefault="00000000">
      <w:pPr>
        <w:jc w:val="both"/>
        <w:divId w:val="1000739510"/>
        <w:rPr>
          <w:rFonts w:eastAsia="Times New Roman"/>
        </w:rPr>
      </w:pPr>
      <w:r>
        <w:rPr>
          <w:rFonts w:eastAsia="Times New Roman"/>
        </w:rPr>
        <w:t>ı) Bu bent boş bırakılmıştır.</w:t>
      </w:r>
    </w:p>
    <w:p w14:paraId="428524AD" w14:textId="77777777" w:rsidR="00000000" w:rsidRDefault="00000000">
      <w:pPr>
        <w:jc w:val="both"/>
        <w:divId w:val="1730153635"/>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ikinci fıkrası gereğince pay çoğunluğuna dayanarak kurulan şirketler topluluğu ilişkisi içinde kullanılması halinde bu hukuki ilişkiyi ve bu ilişkinin süresini tevsik eden belge </w:t>
      </w:r>
    </w:p>
    <w:p w14:paraId="08DCE315" w14:textId="77777777" w:rsidR="00000000" w:rsidRDefault="00000000">
      <w:pPr>
        <w:jc w:val="both"/>
        <w:divId w:val="1675914023"/>
        <w:rPr>
          <w:rFonts w:eastAsia="Times New Roman"/>
        </w:rPr>
      </w:pPr>
      <w:r>
        <w:rPr>
          <w:rFonts w:eastAsia="Times New Roman"/>
        </w:rPr>
        <w:t>7.1.1) Bu madde boş bırakılmıştır.</w:t>
      </w:r>
    </w:p>
    <w:p w14:paraId="1D005521" w14:textId="77777777" w:rsidR="00000000" w:rsidRDefault="00000000">
      <w:pPr>
        <w:jc w:val="both"/>
        <w:divId w:val="1766488774"/>
        <w:rPr>
          <w:rFonts w:eastAsia="Times New Roman"/>
        </w:rPr>
      </w:pPr>
      <w:r>
        <w:rPr>
          <w:rFonts w:eastAsia="Times New Roman"/>
        </w:rPr>
        <w:t>7.1.2) Bu ihalede, istenen belgeler yerine yeterlik sertifikası sunulamaz.</w:t>
      </w:r>
    </w:p>
    <w:p w14:paraId="30CE84D1" w14:textId="77777777" w:rsidR="00000000" w:rsidRDefault="00000000">
      <w:pPr>
        <w:jc w:val="both"/>
      </w:pPr>
      <w:r>
        <w:rPr>
          <w:b/>
          <w:bCs/>
        </w:rPr>
        <w:t>7.2.</w:t>
      </w:r>
      <w:r>
        <w:t xml:space="preserve"> İhaleye iş ortaklığı olarak teklif verilmesi halinde; </w:t>
      </w:r>
    </w:p>
    <w:p w14:paraId="7DCA17BE" w14:textId="77777777" w:rsidR="00000000" w:rsidRDefault="00000000">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14:paraId="4CFDE1B6" w14:textId="77777777" w:rsidR="00000000" w:rsidRDefault="00000000">
      <w:pPr>
        <w:jc w:val="both"/>
      </w:pPr>
      <w:r>
        <w:rPr>
          <w:b/>
          <w:bCs/>
        </w:rPr>
        <w:t>7.3.</w:t>
      </w:r>
      <w:r>
        <w:t xml:space="preserve"> Bu madde boş bırakılmıştır. </w:t>
      </w:r>
    </w:p>
    <w:p w14:paraId="42C8EF8A" w14:textId="77777777" w:rsidR="00000000" w:rsidRDefault="00000000">
      <w:pPr>
        <w:jc w:val="both"/>
      </w:pPr>
      <w:r>
        <w:rPr>
          <w:b/>
          <w:bCs/>
        </w:rPr>
        <w:lastRenderedPageBreak/>
        <w:t>7.4.</w:t>
      </w:r>
      <w:r>
        <w:t xml:space="preserve"> Ekonomik ve mali yeterliğe ilişkin belgeler ve bu belgelerin taşıması gereken kriterler: </w:t>
      </w:r>
    </w:p>
    <w:p w14:paraId="319A549B" w14:textId="77777777" w:rsidR="00000000" w:rsidRDefault="00000000">
      <w:pPr>
        <w:jc w:val="both"/>
      </w:pPr>
      <w:r>
        <w:rPr>
          <w:b/>
          <w:bCs/>
        </w:rPr>
        <w:t>7.4.1.</w:t>
      </w:r>
      <w:r>
        <w:t xml:space="preserve"> Bu madde boş bırakılmıştır. </w:t>
      </w:r>
    </w:p>
    <w:p w14:paraId="08AC7F20" w14:textId="77777777" w:rsidR="00000000" w:rsidRDefault="00000000">
      <w:pPr>
        <w:jc w:val="both"/>
      </w:pPr>
      <w:r>
        <w:rPr>
          <w:b/>
          <w:bCs/>
        </w:rPr>
        <w:t>7.4.2.</w:t>
      </w:r>
      <w:r>
        <w:t xml:space="preserve"> Bu madde boş bırakılmıştır. </w:t>
      </w:r>
    </w:p>
    <w:p w14:paraId="5C95A6AC" w14:textId="77777777" w:rsidR="00000000" w:rsidRDefault="00000000">
      <w:pPr>
        <w:jc w:val="both"/>
      </w:pPr>
      <w:r>
        <w:rPr>
          <w:b/>
          <w:bCs/>
        </w:rPr>
        <w:t>7.4.3.</w:t>
      </w:r>
      <w:r>
        <w:t xml:space="preserve"> Bu madde boş bırakılmıştır. </w:t>
      </w:r>
    </w:p>
    <w:p w14:paraId="7427E93A" w14:textId="77777777" w:rsidR="00000000" w:rsidRDefault="00000000">
      <w:pPr>
        <w:jc w:val="both"/>
      </w:pPr>
      <w:r>
        <w:rPr>
          <w:b/>
          <w:bCs/>
        </w:rPr>
        <w:t>7.5.</w:t>
      </w:r>
      <w:r>
        <w:t xml:space="preserve"> Mesleki ve teknik yeterliğe ilişkin belgeler ve bu belgelerin taşıması gereken kriterler: </w:t>
      </w:r>
    </w:p>
    <w:p w14:paraId="3A2B409E" w14:textId="77777777" w:rsidR="00000000" w:rsidRDefault="00000000">
      <w:pPr>
        <w:jc w:val="both"/>
      </w:pPr>
      <w:r>
        <w:rPr>
          <w:b/>
          <w:bCs/>
        </w:rPr>
        <w:t>7.5.1.</w:t>
      </w:r>
      <w:r>
        <w:t xml:space="preserve"> İsteklinin teknolojik ürün deneyim belgesi ya da yurt içinde veya yurt dışında kamu veya özel sektörde bedel içeren tek bir sözleşme kapsamında taahhüt edilen ihale konusu iş veya benzer işlere ilişkin olarak; </w:t>
      </w:r>
    </w:p>
    <w:p w14:paraId="285AD2A1" w14:textId="77777777" w:rsidR="00000000" w:rsidRDefault="00000000">
      <w:pPr>
        <w:jc w:val="both"/>
        <w:divId w:val="674962884"/>
        <w:rPr>
          <w:rFonts w:eastAsia="Times New Roman"/>
        </w:rPr>
      </w:pPr>
      <w:r>
        <w:rPr>
          <w:rFonts w:eastAsia="Times New Roman"/>
        </w:rPr>
        <w:t xml:space="preserve">a) İlk ilan tarihinden geriye doğru son beş yıl içinde kabul işlemleri tamamlanan hizmet alımlarıyla ilgili iş deneyimini gösteren belgeleri veya </w:t>
      </w:r>
    </w:p>
    <w:p w14:paraId="3F4F2D2D" w14:textId="77777777" w:rsidR="00000000" w:rsidRDefault="00000000">
      <w:pPr>
        <w:jc w:val="both"/>
        <w:divId w:val="674962884"/>
      </w:pPr>
      <w:r>
        <w:t xml:space="preserve">b) Devredilen işlerde devir öncesindeki veya sonrasındaki dönemde ilk sözleşme bedelinin en az % 80'inin gerçekleştirilmesi şartıyla, ilk ilan veya davet tarihinden geriye doğru son beş yıl içinde kabul işlemleri tamamlanan hizmet işlerine ilişkin deneyimini gösteren belgeleri, </w:t>
      </w:r>
    </w:p>
    <w:p w14:paraId="5B84E426" w14:textId="77777777" w:rsidR="00000000" w:rsidRDefault="00000000">
      <w:pPr>
        <w:jc w:val="both"/>
      </w:pPr>
      <w:r>
        <w:t xml:space="preserve">sunması zorunludur. İstekli tarafından teklif edilen bedelin % </w:t>
      </w:r>
      <w:r>
        <w:rPr>
          <w:rStyle w:val="richtext"/>
          <w:b/>
          <w:bCs/>
          <w:color w:val="003399"/>
          <w:u w:val="dotted"/>
        </w:rPr>
        <w:t>25</w:t>
      </w:r>
      <w:r>
        <w:t xml:space="preserve">'den az olmamak üzere, ihale konusu iş veya benzer işlere ait tek sözleşmeye ilişkin iş deneyimini gösteren belgelerin veya teknolojik ürün deneyim belgesinin sunulması gerekir. </w:t>
      </w:r>
    </w:p>
    <w:p w14:paraId="1431669D" w14:textId="77777777" w:rsidR="00000000" w:rsidRDefault="00000000">
      <w:pPr>
        <w:jc w:val="both"/>
      </w:pPr>
      <w:r>
        <w:t xml:space="preserve">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Konsorsiyumda ise her bir ortağın kendi kısmı için istenen iş deneyim tutarını sağlaması zorunludur. </w:t>
      </w:r>
    </w:p>
    <w:p w14:paraId="463A6296" w14:textId="77777777" w:rsidR="00000000" w:rsidRDefault="00000000">
      <w:pPr>
        <w:jc w:val="both"/>
      </w:pPr>
      <w:r>
        <w:t xml:space="preserve">İsteklinin teknolojik ürün deneyim belgesini sunması halinde, iş deneyimine ilişkin yeterlik kriterini sağladığı kabul edilir. İş ortaklığında teknolojik ürün deneyim belgesini sunan ortağın kendisine ait iş deneyim tutarına ilişkin asgari yeterlik kriterini sağladığı kabul edilir. Konsorsiyum ortağının teknolojik ürün deneyim belgesini sunması halinde ise, belgeyi sunduğu kısım veya kısımlar için iş deneyimine ilişkin yeterlik kriterini sağladığı kabul edilir. </w:t>
      </w:r>
    </w:p>
    <w:p w14:paraId="48E4EE42" w14:textId="77777777" w:rsidR="00000000" w:rsidRDefault="00000000">
      <w:pPr>
        <w:jc w:val="both"/>
      </w:pPr>
      <w:r>
        <w:rPr>
          <w:b/>
          <w:bCs/>
        </w:rPr>
        <w:t>7.5.2.</w:t>
      </w:r>
      <w:r>
        <w:t xml:space="preserve"> Bu Madde boş bırakılmıştır. </w:t>
      </w:r>
    </w:p>
    <w:p w14:paraId="119524AF" w14:textId="77777777" w:rsidR="00000000" w:rsidRDefault="00000000">
      <w:pPr>
        <w:jc w:val="both"/>
      </w:pPr>
      <w:r>
        <w:rPr>
          <w:b/>
          <w:bCs/>
        </w:rPr>
        <w:t>7.5.3.</w:t>
      </w:r>
      <w:r>
        <w:t xml:space="preserve"> Bu madde boş bırakılmıştır. </w:t>
      </w:r>
    </w:p>
    <w:p w14:paraId="21AD04B9" w14:textId="77777777" w:rsidR="00000000" w:rsidRDefault="00000000">
      <w:pPr>
        <w:jc w:val="both"/>
      </w:pPr>
      <w:r>
        <w:rPr>
          <w:b/>
          <w:bCs/>
        </w:rPr>
        <w:t>7.5.4.</w:t>
      </w:r>
      <w:r>
        <w:t xml:space="preserve"> İsteklinin teklifi kapsamında sunması ve/veya sağlaması gerektiği bu şartnamenin 7 nci maddesi dışındaki maddeleri ile teknik şartnamede belirtilen aşağıdaki belgeler ve/veya yeterlik kriterleri: </w:t>
      </w:r>
    </w:p>
    <w:p w14:paraId="059AFB10" w14:textId="77777777" w:rsidR="00000000" w:rsidRDefault="00000000">
      <w:pPr>
        <w:jc w:val="both"/>
      </w:pPr>
      <w:r>
        <w:t xml:space="preserve">{Belirtilmemiştir} </w:t>
      </w:r>
    </w:p>
    <w:p w14:paraId="259E3DBA" w14:textId="77777777" w:rsidR="00000000" w:rsidRDefault="00000000">
      <w:pPr>
        <w:jc w:val="both"/>
      </w:pPr>
      <w:r>
        <w:rPr>
          <w:b/>
          <w:bCs/>
        </w:rPr>
        <w:t>7.5.5</w:t>
      </w:r>
      <w:r>
        <w:t xml:space="preserve"> Bu Şartnamenin 7 nci maddesi dışında ihale dokümanında sayılan diğer belgeler ve/veya düzenlenen diğer yeterlik kriterleri tekliflerin değerlendirilmesinde dikkate alınmaz. </w:t>
      </w:r>
    </w:p>
    <w:p w14:paraId="42B2C2CA" w14:textId="77777777" w:rsidR="00000000" w:rsidRDefault="00000000">
      <w:pPr>
        <w:jc w:val="both"/>
      </w:pPr>
      <w:r>
        <w:rPr>
          <w:b/>
          <w:bCs/>
        </w:rPr>
        <w:t>7.6.</w:t>
      </w:r>
      <w:r>
        <w:t xml:space="preserve"> Benzer iş olarak kabul edilecek işler aşağıda belirtilmiştir: </w:t>
      </w:r>
    </w:p>
    <w:p w14:paraId="5EE79E64" w14:textId="77777777" w:rsidR="00000000" w:rsidRDefault="00000000">
      <w:pPr>
        <w:overflowPunct/>
        <w:autoSpaceDE/>
        <w:autoSpaceDN/>
        <w:spacing w:before="100" w:beforeAutospacing="1" w:after="100" w:afterAutospacing="1"/>
        <w:rPr>
          <w:b/>
          <w:bCs/>
          <w:color w:val="003399"/>
          <w:u w:val="dotted"/>
        </w:rPr>
      </w:pPr>
      <w:r>
        <w:rPr>
          <w:b/>
          <w:bCs/>
          <w:color w:val="003399"/>
          <w:u w:val="dotted"/>
        </w:rPr>
        <w:t>Kamu ve/veya özel sektörde yapılmış her türlü öğrenci ve personel taşıma işi benzer iş olarak kabul edilecektir.</w:t>
      </w:r>
    </w:p>
    <w:p w14:paraId="76B44874" w14:textId="77777777" w:rsidR="00000000" w:rsidRDefault="00000000">
      <w:pPr>
        <w:jc w:val="both"/>
      </w:pPr>
      <w:r>
        <w:rPr>
          <w:b/>
          <w:bCs/>
        </w:rPr>
        <w:t>7.6.1</w:t>
      </w:r>
      <w:r>
        <w:t xml:space="preserve"> Bu madde boş bırakılmıştır. </w:t>
      </w:r>
    </w:p>
    <w:p w14:paraId="7D4C7A15" w14:textId="77777777" w:rsidR="00000000" w:rsidRDefault="00000000">
      <w:pPr>
        <w:jc w:val="both"/>
      </w:pPr>
      <w:r>
        <w:rPr>
          <w:b/>
          <w:bCs/>
        </w:rPr>
        <w:t>7.7.</w:t>
      </w:r>
      <w:r>
        <w:t xml:space="preserve"> Numune ve demonstrasyon değerlendirmesi: </w:t>
      </w:r>
    </w:p>
    <w:p w14:paraId="79F45FDA" w14:textId="77777777" w:rsidR="00000000" w:rsidRDefault="00000000">
      <w:pPr>
        <w:jc w:val="both"/>
      </w:pPr>
      <w:r>
        <w:rPr>
          <w:b/>
          <w:bCs/>
        </w:rPr>
        <w:t>7.7.1.</w:t>
      </w:r>
      <w:r>
        <w:t xml:space="preserve"> Bu madde boş bırakılmıştır. </w:t>
      </w:r>
    </w:p>
    <w:p w14:paraId="2F0E2183" w14:textId="77777777" w:rsidR="00000000" w:rsidRDefault="00000000">
      <w:pPr>
        <w:jc w:val="both"/>
      </w:pPr>
      <w:r>
        <w:rPr>
          <w:b/>
          <w:bCs/>
        </w:rPr>
        <w:t>7.7.2.</w:t>
      </w:r>
      <w:r>
        <w:t xml:space="preserve"> Bu madde boş bırakılmıştır. </w:t>
      </w:r>
    </w:p>
    <w:p w14:paraId="4C28670C" w14:textId="77777777" w:rsidR="00000000" w:rsidRDefault="00000000">
      <w:pPr>
        <w:jc w:val="both"/>
      </w:pPr>
      <w:r>
        <w:rPr>
          <w:b/>
          <w:bCs/>
        </w:rPr>
        <w:t>7.8.</w:t>
      </w:r>
      <w:r>
        <w:t xml:space="preserve"> Tekliflerin dili </w:t>
      </w:r>
    </w:p>
    <w:p w14:paraId="450603A3" w14:textId="77777777" w:rsidR="00000000" w:rsidRDefault="00000000">
      <w:pPr>
        <w:jc w:val="both"/>
      </w:pPr>
      <w:r>
        <w:rPr>
          <w:b/>
          <w:bCs/>
        </w:rPr>
        <w:t>7.8.1.</w:t>
      </w:r>
      <w:r>
        <w:t xml:space="preserve"> Teklifi oluşturan bütün belgeler ile tekliflerin değerlendirmesi aşamasında idarece talep edilmesi halinde isteklilerce sunulması gereken belgeler ve ekleri Türkçe olacaktır. Başka bir dilde sunulan belgeler, Türkçe onaylı tercümesi ile birlikte verilmesi halinde geçerli sayılacaktır. Bu durumda teklifin veya belgenin yorumlanmasında Türkçe tercüme esas alınır. Tercümelerin yapılması ve tercümelerin tasdiki işlerinde ilgili maddeki düzenlemeler esas alınacaktır. </w:t>
      </w:r>
    </w:p>
    <w:p w14:paraId="12C65A9C" w14:textId="77777777" w:rsidR="00000000" w:rsidRDefault="00000000">
      <w:pPr>
        <w:jc w:val="both"/>
      </w:pPr>
      <w:r>
        <w:rPr>
          <w:b/>
          <w:bCs/>
        </w:rPr>
        <w:t>7.9.</w:t>
      </w:r>
      <w:r>
        <w:t xml:space="preserve"> Belgelerin sunuluş şekli: </w:t>
      </w:r>
    </w:p>
    <w:p w14:paraId="5E8ED6B5" w14:textId="77777777" w:rsidR="00000000" w:rsidRDefault="00000000">
      <w:pPr>
        <w:jc w:val="both"/>
      </w:pPr>
      <w:r>
        <w:rPr>
          <w:b/>
          <w:bCs/>
        </w:rPr>
        <w:lastRenderedPageBreak/>
        <w:t>7.9.1.</w:t>
      </w:r>
      <w:r>
        <w:t xml:space="preserve"> İdarece talep edilmesi halinde istekliler tarafından, e-teklifleri kapsamında beyan edilen bilgi ve belgelerden EKAP veya diğer kamu kurum ve kuruluşları ile kamu kurumu niteliğindeki meslek kuruluşlarının internet sayfası üzerinden sorgulanarak teyit edilemeyenler ekleri ile birlikte bu maddede düzenlenen şekil kurallarına uygun olarak sunulur. </w:t>
      </w:r>
    </w:p>
    <w:p w14:paraId="28CFB4E6" w14:textId="77777777" w:rsidR="00000000" w:rsidRDefault="00000000">
      <w:pPr>
        <w:jc w:val="both"/>
      </w:pPr>
      <w:r>
        <w:rPr>
          <w:b/>
          <w:bCs/>
        </w:rPr>
        <w:t>7.9.2.</w:t>
      </w:r>
      <w:r>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435B988C" w14:textId="77777777" w:rsidR="00000000" w:rsidRDefault="00000000">
      <w:pPr>
        <w:jc w:val="both"/>
      </w:pPr>
      <w:r>
        <w:rPr>
          <w:b/>
          <w:bCs/>
        </w:rPr>
        <w:t>7.9.3.</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14:paraId="2BF80728" w14:textId="77777777" w:rsidR="00000000" w:rsidRDefault="00000000">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14:paraId="65374A44" w14:textId="77777777" w:rsidR="00000000" w:rsidRDefault="00000000">
      <w:pPr>
        <w:jc w:val="both"/>
      </w:pPr>
      <w:r>
        <w:rPr>
          <w:b/>
          <w:bCs/>
        </w:rPr>
        <w:t>7.9.5. Türkiye Cumhuriyetinin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14:paraId="15291083" w14:textId="77777777" w:rsidR="00000000" w:rsidRDefault="00000000">
      <w:pPr>
        <w:jc w:val="both"/>
      </w:pPr>
      <w:r>
        <w:rPr>
          <w:b/>
          <w:bCs/>
        </w:rPr>
        <w:t>7.9.5.1.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aslı ile aynı olduğunun; düzenlendiği ülkedeki yetkili diğer mercilerce tesselsülen tasdik edilmiş olması ve apostil tasdik şerhinin tasdik silsilesindeki bir önceki merciye ilişkin olması halinde de belgenin usulüne uygun olarak sunulduğu kabul edilecektir. </w:t>
      </w:r>
    </w:p>
    <w:p w14:paraId="636B2417" w14:textId="77777777" w:rsidR="00000000" w:rsidRDefault="00000000">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14:paraId="20547088" w14:textId="77777777" w:rsidR="00000000" w:rsidRDefault="00000000">
      <w:pPr>
        <w:jc w:val="both"/>
      </w:pPr>
      <w:r>
        <w:rPr>
          <w:b/>
          <w:bCs/>
        </w:rPr>
        <w:t>7.9.5.3.</w:t>
      </w:r>
      <w:r>
        <w:t xml:space="preserve"> 7.9.5.1 veya 7.9.5.2 nci madde kapsamında sunulmayan belgeler ise aşağıdaki yöntemlerden biri ile tasdik edilmelidir: </w:t>
      </w:r>
    </w:p>
    <w:p w14:paraId="626DD3A4" w14:textId="77777777" w:rsidR="00000000" w:rsidRDefault="00000000">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Düzenlendigi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oldugunun teyidi işlemi anlaşılır. </w:t>
      </w:r>
    </w:p>
    <w:p w14:paraId="2A5D2A4C" w14:textId="77777777" w:rsidR="00000000" w:rsidRDefault="00000000">
      <w:pPr>
        <w:jc w:val="both"/>
      </w:pPr>
      <w:r>
        <w:t xml:space="preserve">2) Belge, sırasıyla düzenlendigi ülkenin Türkiye'deki temsilciligi ile Türkiye Cumhuriyeti Dışişleri Bakanlığı tarafından tasdik edilmelidir. Düzenlendigi ülkenin Türkiye' 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 </w:t>
      </w:r>
    </w:p>
    <w:p w14:paraId="532C78C7" w14:textId="77777777" w:rsidR="00000000" w:rsidRDefault="00000000">
      <w:pPr>
        <w:jc w:val="both"/>
      </w:pPr>
      <w:r>
        <w:rPr>
          <w:b/>
          <w:bCs/>
        </w:rPr>
        <w:t>7.9.5.4.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14:paraId="6C225BF5" w14:textId="77777777" w:rsidR="00000000" w:rsidRDefault="00000000">
      <w:pPr>
        <w:jc w:val="both"/>
      </w:pPr>
      <w:r>
        <w:rPr>
          <w:b/>
          <w:bCs/>
        </w:rPr>
        <w:lastRenderedPageBreak/>
        <w:t>7.9.5.5.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14:paraId="7D2EB4E5" w14:textId="77777777" w:rsidR="00000000" w:rsidRDefault="00000000">
      <w:pPr>
        <w:jc w:val="both"/>
      </w:pPr>
      <w:r>
        <w:rPr>
          <w:b/>
          <w:bCs/>
        </w:rPr>
        <w:t>7.9.5.6.</w:t>
      </w:r>
      <w:r>
        <w:t xml:space="preserve"> Fahri konsolosluklarca düzenlenen belgelere dayanılarak işlem tesis edilmez. </w:t>
      </w:r>
    </w:p>
    <w:p w14:paraId="03DEAECE" w14:textId="77777777" w:rsidR="00000000" w:rsidRDefault="00000000">
      <w:pPr>
        <w:jc w:val="both"/>
      </w:pPr>
      <w:r>
        <w:rPr>
          <w:b/>
          <w:bCs/>
        </w:rPr>
        <w:t>7.9.5.7.</w:t>
      </w:r>
      <w:r>
        <w:t xml:space="preserve"> Tasdik işleminden muaf tutulan resmi niteliği bulunmayan belgeler </w:t>
      </w:r>
    </w:p>
    <w:p w14:paraId="10E4C0D2" w14:textId="77777777" w:rsidR="00000000" w:rsidRDefault="00000000">
      <w:pPr>
        <w:jc w:val="both"/>
      </w:pPr>
      <w:r>
        <w:rPr>
          <w:b/>
          <w:bCs/>
        </w:rPr>
        <w:t>7.9.5.7.1.</w:t>
      </w:r>
      <w:r>
        <w:t xml:space="preserve"> Bu madde boş bırakılmıştır. </w:t>
      </w:r>
    </w:p>
    <w:p w14:paraId="32C603AB" w14:textId="77777777" w:rsidR="00000000" w:rsidRDefault="00000000">
      <w:pPr>
        <w:jc w:val="both"/>
      </w:pPr>
      <w:r>
        <w:rPr>
          <w:b/>
          <w:bCs/>
        </w:rPr>
        <w:t>7.9.6. Yabancı dilde düzenlenen belgelerin tercümelerinin yapılması ve bu tercümelerin tasdik işlemi:</w:t>
      </w:r>
      <w:r>
        <w:t xml:space="preserve"> </w:t>
      </w:r>
    </w:p>
    <w:p w14:paraId="7187869E" w14:textId="77777777" w:rsidR="00000000" w:rsidRDefault="00000000">
      <w:pPr>
        <w:jc w:val="both"/>
      </w:pPr>
      <w:r>
        <w:rPr>
          <w:b/>
          <w:bCs/>
        </w:rPr>
        <w:t>7.9.6.1.</w:t>
      </w:r>
      <w:r>
        <w:t xml:space="preserve"> Yerli istekliler tarafından yabancı dilde düzenlenen belgelerin tercümeleri ve bu tercümelerin tasdik işlemi aşağıdaki şekilde yapılır: </w:t>
      </w:r>
    </w:p>
    <w:p w14:paraId="774450E2" w14:textId="77777777" w:rsidR="00000000" w:rsidRDefault="00000000">
      <w:pPr>
        <w:jc w:val="both"/>
      </w:pPr>
      <w:r>
        <w:rPr>
          <w:b/>
          <w:bCs/>
        </w:rPr>
        <w:t>7.9.6.1.1.</w:t>
      </w:r>
      <w:r>
        <w:t xml:space="preserve"> Yerli istekliler ile Türk vatandaşı gerçek kişi ve/veya Türkiye Cumhuriyeti kanunlarına göre kurulmuş tüzel kişi ortağı bulunan iş ortaklıkları veya konsorsiyumlar tarafından yabancı dilde düzenlenen belgelerin tercümelerinin, Türkiye'deki yeminli tercümanlar tarafından yapılması ve noter tarafından onaylanması zorunludur. Bu tercümeler, Türkiye Cumhuriyeti Dışişleri Bakanlığı tasdik işleminden muaftır. </w:t>
      </w:r>
    </w:p>
    <w:p w14:paraId="12DFE71D" w14:textId="77777777" w:rsidR="00000000" w:rsidRDefault="00000000">
      <w:pPr>
        <w:jc w:val="both"/>
      </w:pPr>
      <w:r>
        <w:rPr>
          <w:b/>
          <w:bCs/>
        </w:rPr>
        <w:t>7.9.6.2.</w:t>
      </w:r>
      <w:r>
        <w:t xml:space="preserve"> Yabancı istekliler tarafından yabancı dilde düzenlenen belgelerin tercümeleri ve bu tercümelerin tasdik işlemi, aşağıdaki şekilde yapılır: </w:t>
      </w:r>
    </w:p>
    <w:p w14:paraId="32B20480" w14:textId="77777777" w:rsidR="00000000" w:rsidRDefault="00000000">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14:paraId="7263687B" w14:textId="77777777" w:rsidR="00000000" w:rsidRDefault="00000000">
      <w:pPr>
        <w:jc w:val="both"/>
      </w:pPr>
      <w:r>
        <w:rPr>
          <w:b/>
          <w:bCs/>
        </w:rPr>
        <w:t>7.9.6.2.2.</w:t>
      </w:r>
      <w:r>
        <w:t xml:space="preserve"> Belgelerin tercümelerinin, verildiği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6AAC298C" w14:textId="77777777" w:rsidR="00000000" w:rsidRDefault="00000000">
      <w:pPr>
        <w:jc w:val="both"/>
      </w:pPr>
      <w:r>
        <w:rPr>
          <w:b/>
          <w:bCs/>
        </w:rPr>
        <w:t>7.9.6.2.3.</w:t>
      </w:r>
      <w: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14:paraId="69C2CB3B" w14:textId="77777777" w:rsidR="00000000" w:rsidRDefault="00000000">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70FB7B6F" w14:textId="77777777" w:rsidR="00000000" w:rsidRDefault="00000000">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14:paraId="7ABB4BD4" w14:textId="77777777" w:rsidR="00000000" w:rsidRDefault="00000000">
      <w:pPr>
        <w:jc w:val="both"/>
      </w:pPr>
      <w:r>
        <w:rPr>
          <w:b/>
          <w:bCs/>
        </w:rPr>
        <w:t>7.9.7.</w:t>
      </w:r>
      <w:r>
        <w:t xml:space="preserve"> Kalite ve standarda ilişkin belgelerin sunuluş şekli </w:t>
      </w:r>
    </w:p>
    <w:p w14:paraId="7E59039D" w14:textId="77777777" w:rsidR="00000000" w:rsidRDefault="00000000">
      <w:pPr>
        <w:jc w:val="both"/>
      </w:pPr>
      <w:r>
        <w:rPr>
          <w:b/>
          <w:bCs/>
        </w:rPr>
        <w:t>7.9.7.1.</w:t>
      </w:r>
      <w:r>
        <w:t xml:space="preserve"> Bu madde boş bırakılmıştır. </w:t>
      </w:r>
    </w:p>
    <w:p w14:paraId="37ECAB20" w14:textId="77777777" w:rsidR="00000000" w:rsidRDefault="00000000">
      <w:pPr>
        <w:spacing w:before="120"/>
        <w:jc w:val="both"/>
      </w:pPr>
      <w:r>
        <w:rPr>
          <w:b/>
          <w:bCs/>
          <w:color w:val="auto"/>
        </w:rPr>
        <w:t>Madde 8 - İhalenin yabancı isteklilere açıklığı:</w:t>
      </w:r>
    </w:p>
    <w:p w14:paraId="0D6DC5AB" w14:textId="77777777" w:rsidR="00000000" w:rsidRDefault="00000000">
      <w:pPr>
        <w:jc w:val="both"/>
      </w:pPr>
      <w:r>
        <w:rPr>
          <w:b/>
          <w:bCs/>
        </w:rPr>
        <w:t>8.1.</w:t>
      </w:r>
      <w:r>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14:paraId="4744D8D5" w14:textId="77777777" w:rsidR="00000000" w:rsidRDefault="00000000">
      <w:pPr>
        <w:spacing w:before="120"/>
        <w:jc w:val="both"/>
      </w:pPr>
      <w:r>
        <w:rPr>
          <w:b/>
          <w:bCs/>
          <w:color w:val="auto"/>
        </w:rPr>
        <w:t>Madde 9- İhaleye katılamayacak olanlar</w:t>
      </w:r>
    </w:p>
    <w:p w14:paraId="373F478F" w14:textId="77777777" w:rsidR="00000000" w:rsidRDefault="00000000">
      <w:pPr>
        <w:jc w:val="both"/>
      </w:pPr>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11A90D2C" w14:textId="77777777" w:rsidR="00000000" w:rsidRDefault="00000000">
      <w:pPr>
        <w:jc w:val="both"/>
      </w:pPr>
      <w:r>
        <w:rPr>
          <w:b/>
          <w:bCs/>
        </w:rPr>
        <w:lastRenderedPageBreak/>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14:paraId="1D6B0AC2" w14:textId="77777777" w:rsidR="00000000" w:rsidRDefault="00000000">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14:paraId="2E8869AD" w14:textId="77777777" w:rsidR="00000000" w:rsidRDefault="00000000">
      <w:pPr>
        <w:spacing w:before="120"/>
        <w:jc w:val="both"/>
      </w:pPr>
      <w:r>
        <w:rPr>
          <w:b/>
          <w:bCs/>
          <w:color w:val="auto"/>
        </w:rPr>
        <w:t>Madde 10- İhale dışı bırakılma ve yasak fiil veya davranışlar</w:t>
      </w:r>
    </w:p>
    <w:p w14:paraId="424AEA57" w14:textId="77777777" w:rsidR="00000000" w:rsidRDefault="00000000">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4F0CD2F0" w14:textId="77777777" w:rsidR="00000000" w:rsidRDefault="00000000">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3A051808" w14:textId="77777777" w:rsidR="00000000" w:rsidRDefault="00000000">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7077B263" w14:textId="77777777" w:rsidR="00000000" w:rsidRDefault="00000000">
      <w:pPr>
        <w:spacing w:before="120"/>
        <w:jc w:val="both"/>
      </w:pPr>
      <w:r>
        <w:rPr>
          <w:b/>
          <w:bCs/>
          <w:color w:val="auto"/>
        </w:rPr>
        <w:t>Madde 11- Teklif hazırlama giderleri ile teklif ve ödemelerde geçerli para birimi.</w:t>
      </w:r>
    </w:p>
    <w:p w14:paraId="3B0364BE" w14:textId="77777777" w:rsidR="00000000" w:rsidRDefault="00000000">
      <w:pPr>
        <w:jc w:val="both"/>
      </w:pPr>
      <w:r>
        <w:rPr>
          <w:b/>
          <w:bCs/>
        </w:rPr>
        <w:t>11.1.</w:t>
      </w:r>
      <w:r>
        <w:t xml:space="preserve"> Tekliflerin hazırlanması ve sunulması ile ilgili bütün masraflar isteklilere aittir. İstekli, teklifini hazırlamak için yapmış olduğu hiçbir masrafı idareden isteyemez. </w:t>
      </w:r>
    </w:p>
    <w:p w14:paraId="0C3CB2B4" w14:textId="77777777" w:rsidR="00000000" w:rsidRDefault="00000000">
      <w:pPr>
        <w:jc w:val="both"/>
      </w:pPr>
      <w:r>
        <w:rPr>
          <w:b/>
          <w:bCs/>
        </w:rPr>
        <w:t>11.2.</w:t>
      </w:r>
      <w:r>
        <w:t xml:space="preserve"> İstekliler, teklifini gösteren fiyatları ve bunların toplam tutarlarını Türk Lirası olarak verecektir. Sözleşme konusu işin ödemelerinde Türk Lirası kullanılacaktır. </w:t>
      </w:r>
    </w:p>
    <w:p w14:paraId="0FA06987" w14:textId="77777777" w:rsidR="00000000" w:rsidRDefault="00000000">
      <w:pPr>
        <w:spacing w:before="120"/>
        <w:jc w:val="both"/>
      </w:pPr>
      <w:r>
        <w:rPr>
          <w:b/>
          <w:bCs/>
          <w:color w:val="auto"/>
        </w:rPr>
        <w:t>Madde 12 - İşin yapılacağı yerin görülmesi</w:t>
      </w:r>
    </w:p>
    <w:p w14:paraId="17FD141F" w14:textId="77777777" w:rsidR="00000000" w:rsidRDefault="00000000">
      <w:pPr>
        <w:jc w:val="both"/>
      </w:pPr>
      <w:r>
        <w:rPr>
          <w:b/>
          <w:bCs/>
        </w:rPr>
        <w:t>12.1.</w:t>
      </w:r>
      <w:r>
        <w:t xml:space="preserve"> Bu madde boş bırakılmıştır </w:t>
      </w:r>
    </w:p>
    <w:p w14:paraId="62F9A5F4" w14:textId="77777777" w:rsidR="00000000" w:rsidRDefault="00000000">
      <w:pPr>
        <w:spacing w:before="120"/>
        <w:jc w:val="both"/>
      </w:pPr>
      <w:r>
        <w:rPr>
          <w:b/>
          <w:bCs/>
          <w:color w:val="auto"/>
        </w:rPr>
        <w:t xml:space="preserve">Madde 13 - İhale dokümanına ilişkin açıklama yapılması </w:t>
      </w:r>
    </w:p>
    <w:p w14:paraId="1E60606D" w14:textId="77777777" w:rsidR="00000000" w:rsidRDefault="00000000">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14:paraId="726006D1" w14:textId="77777777" w:rsidR="00000000" w:rsidRDefault="00000000">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üzerinden gönderilir. </w:t>
      </w:r>
    </w:p>
    <w:p w14:paraId="68F27C3B" w14:textId="77777777" w:rsidR="00000000" w:rsidRDefault="00000000">
      <w:pPr>
        <w:jc w:val="both"/>
      </w:pPr>
      <w:r>
        <w:rPr>
          <w:b/>
          <w:bCs/>
        </w:rPr>
        <w:t>13.3.</w:t>
      </w:r>
      <w:r>
        <w:t xml:space="preserve"> Açıklamada, sorular ile İdarenin ayrıntılı cevabı yer alır, açıklama talebinde bulunanın kimliği belirtilmez. </w:t>
      </w:r>
    </w:p>
    <w:p w14:paraId="3994CA76" w14:textId="77777777" w:rsidR="00000000" w:rsidRDefault="00000000">
      <w:pPr>
        <w:spacing w:before="120"/>
        <w:jc w:val="both"/>
      </w:pPr>
      <w:r>
        <w:rPr>
          <w:b/>
          <w:bCs/>
          <w:color w:val="auto"/>
        </w:rPr>
        <w:t>Madde 14 - İhale dokümanında değişiklik yapılması</w:t>
      </w:r>
    </w:p>
    <w:p w14:paraId="1C27E158" w14:textId="77777777" w:rsidR="00000000" w:rsidRDefault="00000000">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14:paraId="40FCA397" w14:textId="77777777" w:rsidR="00000000" w:rsidRDefault="00000000">
      <w:pPr>
        <w:jc w:val="both"/>
      </w:pPr>
      <w:r>
        <w:rPr>
          <w:b/>
          <w:bCs/>
        </w:rPr>
        <w:t>14.2.</w:t>
      </w:r>
      <w:r>
        <w:t xml:space="preserve"> Zeyilname, ihale tarihinden en az on gün öncesinde bilgi sahibi olmalarını temin edecek şekilde e-imza kullanarak dokümanı indirmiş tamamnına EKAP üzerinden gönderilir. </w:t>
      </w:r>
    </w:p>
    <w:p w14:paraId="371CC1A8" w14:textId="77777777" w:rsidR="00000000" w:rsidRDefault="00000000">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EKAP üzerinden indirilmesine ve teklif alınmasına devam edilecektir. </w:t>
      </w:r>
    </w:p>
    <w:p w14:paraId="653E0FCA" w14:textId="77777777" w:rsidR="00000000" w:rsidRDefault="00000000">
      <w:pPr>
        <w:jc w:val="both"/>
      </w:pPr>
      <w:r>
        <w:rPr>
          <w:b/>
          <w:bCs/>
        </w:rPr>
        <w:lastRenderedPageBreak/>
        <w:t>14.4.</w:t>
      </w:r>
      <w:r>
        <w:t xml:space="preserve"> Zeyilname düzenlenmesi halinde, e-tekliflerini bu düzenlemeden önce vermiş olan istekliler EKAP üzerinden e-imza kullanarak e-tekliflerini silmek suretiyle geri çekerek, yeniden e-teklif verebilirler. </w:t>
      </w:r>
    </w:p>
    <w:p w14:paraId="18F09658" w14:textId="77777777" w:rsidR="00000000" w:rsidRDefault="00000000">
      <w:pPr>
        <w:jc w:val="both"/>
      </w:pPr>
      <w:r>
        <w:rPr>
          <w:b/>
          <w:bCs/>
        </w:rPr>
        <w:t>14.5.</w:t>
      </w:r>
      <w: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14:paraId="60C47F44" w14:textId="77777777" w:rsidR="00000000" w:rsidRDefault="00000000">
      <w:pPr>
        <w:spacing w:before="120"/>
        <w:jc w:val="both"/>
      </w:pPr>
      <w:r>
        <w:rPr>
          <w:b/>
          <w:bCs/>
          <w:color w:val="auto"/>
        </w:rPr>
        <w:t xml:space="preserve">Madde 15 - İhale saatinden önce ihalenin iptal edilmesi </w:t>
      </w:r>
    </w:p>
    <w:p w14:paraId="6D53309D" w14:textId="77777777" w:rsidR="00000000" w:rsidRDefault="00000000">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14:paraId="2B7CD9DE" w14:textId="77777777" w:rsidR="00000000" w:rsidRDefault="00000000">
      <w:pPr>
        <w:jc w:val="both"/>
      </w:pPr>
      <w:r>
        <w:rPr>
          <w:b/>
          <w:bCs/>
        </w:rPr>
        <w:t>15.2.</w:t>
      </w:r>
      <w:r>
        <w:t xml:space="preserve"> Bu durumda, iptal nedeni belirtilmek suretiyle ihalenin iptal edildiği ilan edilerek duyurulur. Bu aşamaya kadar teklif vermiş olanlara ihalenin iptal edildiği ayrıca tebliğ edilir. </w:t>
      </w:r>
    </w:p>
    <w:p w14:paraId="6FBEE39A" w14:textId="77777777" w:rsidR="00000000" w:rsidRDefault="00000000">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14:paraId="092E6F81" w14:textId="77777777" w:rsidR="00000000" w:rsidRDefault="00000000">
      <w:pPr>
        <w:jc w:val="both"/>
      </w:pPr>
      <w:r>
        <w:rPr>
          <w:b/>
          <w:bCs/>
        </w:rPr>
        <w:t>15.4.</w:t>
      </w:r>
      <w:r>
        <w:t xml:space="preserve"> İhalenin iptal edilmesi nedeniyle isteklilerce İdareden herhangi bir hak talebinde bulunulamaz. </w:t>
      </w:r>
    </w:p>
    <w:p w14:paraId="55785259" w14:textId="77777777" w:rsidR="00000000" w:rsidRDefault="00000000">
      <w:pPr>
        <w:spacing w:before="120"/>
        <w:jc w:val="both"/>
      </w:pPr>
      <w:r>
        <w:rPr>
          <w:b/>
          <w:bCs/>
          <w:color w:val="auto"/>
        </w:rPr>
        <w:t>Madde 16 - İş ortaklığı</w:t>
      </w:r>
    </w:p>
    <w:p w14:paraId="03FBF9CD" w14:textId="77777777" w:rsidR="00000000" w:rsidRDefault="00000000">
      <w:pPr>
        <w:jc w:val="both"/>
      </w:pPr>
      <w:r>
        <w:rPr>
          <w:b/>
          <w:bCs/>
        </w:rPr>
        <w:t>16.1.</w:t>
      </w:r>
      <w:r>
        <w:t xml:space="preserve"> Birden fazla gerçek veya tüzel kişi iş ortaklığı oluşturmak suretiyle ihaleye teklif verebilir. </w:t>
      </w:r>
    </w:p>
    <w:p w14:paraId="74AADC4D" w14:textId="77777777" w:rsidR="00000000" w:rsidRDefault="00000000">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59D263F7" w14:textId="77777777" w:rsidR="00000000" w:rsidRDefault="00000000">
      <w:pPr>
        <w:jc w:val="both"/>
      </w:pPr>
      <w:r>
        <w:rPr>
          <w:b/>
          <w:bCs/>
        </w:rPr>
        <w:t>16.3.</w:t>
      </w:r>
      <w:r>
        <w:t xml:space="preserve"> İş ortaklığı oluşturmak suretiyle ihaleye teklif verecek istekliler, iş ortaklığı yaptıklarına dair pilot ortağın da belirtildiği, iş ortaklığı beyannamesini teklif mektubu ekinde sunacaklardır.Kanunun 21 inci maddesinin birinci fıkrasının (b), (c) ve (f) bendine göre yapılan ihalelerde, davet edilmiş olan gerçek ya da tüzel kişinin pilot ortak olarak belirlenmesi zorunludur. </w:t>
      </w:r>
    </w:p>
    <w:p w14:paraId="7751ED71" w14:textId="77777777" w:rsidR="00000000" w:rsidRDefault="00000000">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14:paraId="1D0F0BC7" w14:textId="77777777" w:rsidR="00000000" w:rsidRDefault="00000000">
      <w:pPr>
        <w:jc w:val="both"/>
      </w:pPr>
      <w:r>
        <w:rPr>
          <w:b/>
          <w:bCs/>
        </w:rPr>
        <w:t>16.5.</w:t>
      </w:r>
      <w:r>
        <w:t xml:space="preserve"> İş ortaklığı sözleşmesinde, ortaklık oranları, bu oranların işin sonuna kadar değiştirilmeyeceği ve pilot ortak ile diğer ortakların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 </w:t>
      </w:r>
    </w:p>
    <w:p w14:paraId="6543915B" w14:textId="77777777" w:rsidR="00000000" w:rsidRDefault="00000000">
      <w:pPr>
        <w:spacing w:before="120"/>
        <w:jc w:val="both"/>
      </w:pPr>
      <w:r>
        <w:rPr>
          <w:b/>
          <w:bCs/>
          <w:color w:val="auto"/>
        </w:rPr>
        <w:t>Madde 17 - Konsorsiyum</w:t>
      </w:r>
    </w:p>
    <w:p w14:paraId="6C2C3582" w14:textId="77777777" w:rsidR="00000000" w:rsidRDefault="00000000">
      <w:pPr>
        <w:jc w:val="both"/>
      </w:pPr>
      <w:r>
        <w:rPr>
          <w:b/>
          <w:bCs/>
        </w:rPr>
        <w:t>17.1.</w:t>
      </w:r>
      <w:r>
        <w:t xml:space="preserve"> Konsorsiyumlar ihaleye teklif veremez. </w:t>
      </w:r>
    </w:p>
    <w:p w14:paraId="770DBA2E" w14:textId="77777777" w:rsidR="00000000" w:rsidRDefault="00000000">
      <w:pPr>
        <w:spacing w:before="120"/>
        <w:jc w:val="both"/>
      </w:pPr>
      <w:r>
        <w:rPr>
          <w:b/>
          <w:bCs/>
          <w:color w:val="auto"/>
        </w:rPr>
        <w:t>Madde 18 - Alt yükleniciler</w:t>
      </w:r>
    </w:p>
    <w:p w14:paraId="64AC5D96" w14:textId="77777777" w:rsidR="00000000" w:rsidRDefault="00000000">
      <w:pPr>
        <w:jc w:val="both"/>
      </w:pPr>
      <w:r>
        <w:rPr>
          <w:b/>
          <w:bCs/>
        </w:rPr>
        <w:t>18.1.</w:t>
      </w:r>
      <w:r>
        <w:t xml:space="preserve"> İhale konusu alımın tamamı veya bir kısmı alt yüklenicilere yaptırılamaz. </w:t>
      </w:r>
    </w:p>
    <w:p w14:paraId="438F2C78" w14:textId="77777777" w:rsidR="00000000" w:rsidRDefault="00000000">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14:paraId="66A9BD6D" w14:textId="77777777" w:rsidR="00000000" w:rsidRDefault="00000000">
      <w:pPr>
        <w:spacing w:before="120"/>
        <w:jc w:val="both"/>
      </w:pPr>
      <w:r>
        <w:rPr>
          <w:b/>
          <w:bCs/>
          <w:color w:val="auto"/>
        </w:rPr>
        <w:t>Madde 19 - Teklif ve sözleşme türü</w:t>
      </w:r>
    </w:p>
    <w:p w14:paraId="18D4E387" w14:textId="77777777" w:rsidR="00000000" w:rsidRDefault="00000000">
      <w:pPr>
        <w:jc w:val="both"/>
      </w:pPr>
      <w:r>
        <w:rPr>
          <w:b/>
          <w:bCs/>
        </w:rPr>
        <w:t>19.1.</w:t>
      </w:r>
      <w: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14:paraId="3A297F38" w14:textId="77777777" w:rsidR="00000000" w:rsidRDefault="00000000">
      <w:pPr>
        <w:jc w:val="both"/>
      </w:pPr>
      <w:r>
        <w:rPr>
          <w:b/>
          <w:bCs/>
        </w:rPr>
        <w:t>19.2.</w:t>
      </w:r>
      <w:r>
        <w:t xml:space="preserve"> Bu madde boş bırakılmıştır. </w:t>
      </w:r>
    </w:p>
    <w:p w14:paraId="650264A1" w14:textId="77777777" w:rsidR="00000000" w:rsidRDefault="00000000">
      <w:pPr>
        <w:spacing w:before="120"/>
        <w:jc w:val="both"/>
      </w:pPr>
      <w:r>
        <w:rPr>
          <w:b/>
          <w:bCs/>
          <w:color w:val="auto"/>
        </w:rPr>
        <w:t>Madde 20 - Kısmi teklif verilmesi</w:t>
      </w:r>
    </w:p>
    <w:p w14:paraId="27DB53CD" w14:textId="77777777" w:rsidR="00000000" w:rsidRDefault="00000000">
      <w:pPr>
        <w:jc w:val="both"/>
      </w:pPr>
      <w:r>
        <w:rPr>
          <w:b/>
          <w:bCs/>
        </w:rPr>
        <w:t>20.1.</w:t>
      </w:r>
      <w:r>
        <w:t xml:space="preserve"> Bu ihalede kısmi teklif verilebilir. </w:t>
      </w:r>
    </w:p>
    <w:p w14:paraId="242A94C0" w14:textId="77777777" w:rsidR="00000000" w:rsidRDefault="00000000">
      <w:pPr>
        <w:jc w:val="both"/>
      </w:pPr>
      <w:r>
        <w:rPr>
          <w:b/>
          <w:bCs/>
        </w:rPr>
        <w:lastRenderedPageBreak/>
        <w:t>20.2.</w:t>
      </w:r>
      <w:r>
        <w:t xml:space="preserve"> Bu ihaledeki kısım sayısı </w:t>
      </w:r>
      <w:r>
        <w:rPr>
          <w:rStyle w:val="richtext"/>
          <w:b/>
          <w:bCs/>
          <w:color w:val="003399"/>
          <w:u w:val="dotted"/>
        </w:rPr>
        <w:t>49</w:t>
      </w:r>
      <w:r>
        <w:t xml:space="preserve"> dir. İhale kısımlarına ilişkin koşullar altta düzenlenmiştir; </w:t>
      </w:r>
    </w:p>
    <w:p w14:paraId="109942D9" w14:textId="77777777" w:rsidR="00000000" w:rsidRDefault="00000000">
      <w:pPr>
        <w:jc w:val="both"/>
      </w:pPr>
      <w:r>
        <w:rPr>
          <w:rStyle w:val="richtext"/>
          <w:b/>
          <w:bCs/>
          <w:color w:val="003399"/>
          <w:u w:val="dotted"/>
        </w:rPr>
        <w:t xml:space="preserve">Bu hizmet ihalesinde kısmi teklif verilebilir. Teklif mektuplarında, teklifin ihale konusu alımın tamamını mı yoksa bir kısmını mı kapsadığı hususu açıkça belirtilecektir. Taşıma merkezi okul/kurum/sınıflara bağlı güzergâhların tamamı ayrı bir kısım olarak belirlenmiştir. İstekliler bu Şartname'de ayrı bir kısım olarak belirlenen taşıma merkezi okul/kurum/sınıfa bağlı güzergâhların tamamına teklif vereceklerdir. Teklif değerlendirmesi her bir kısım için ayrı ayrı yapılacaktır. Birden fazla kısımda ekonomik açıdan en avantajlı teklif sahibi olarak belirlenen istekli ile uhdesinde kalan kısımlar için tek bir sözleşme imzalanacaktır. </w:t>
      </w:r>
    </w:p>
    <w:p w14:paraId="62A6420A" w14:textId="77777777" w:rsidR="00000000" w:rsidRDefault="00000000">
      <w:pPr>
        <w:spacing w:before="120"/>
        <w:jc w:val="both"/>
      </w:pPr>
      <w:r>
        <w:rPr>
          <w:b/>
          <w:bCs/>
          <w:color w:val="auto"/>
        </w:rPr>
        <w:t>Madde 21 - Alternatif teklifler</w:t>
      </w:r>
    </w:p>
    <w:p w14:paraId="1F407737" w14:textId="77777777" w:rsidR="00000000" w:rsidRDefault="00000000">
      <w:pPr>
        <w:jc w:val="both"/>
      </w:pPr>
      <w:r>
        <w:rPr>
          <w:b/>
          <w:bCs/>
        </w:rPr>
        <w:t>21.1.</w:t>
      </w:r>
      <w:r>
        <w:t xml:space="preserve"> Bu madde boş bırakılmıştır. </w:t>
      </w:r>
    </w:p>
    <w:p w14:paraId="072A3CF2" w14:textId="77777777" w:rsidR="00000000" w:rsidRDefault="00000000">
      <w:pPr>
        <w:spacing w:before="120"/>
        <w:jc w:val="both"/>
      </w:pPr>
      <w:r>
        <w:rPr>
          <w:b/>
          <w:bCs/>
          <w:color w:val="auto"/>
        </w:rPr>
        <w:t>Madde 22- Tekliflerin sunulma şekli</w:t>
      </w:r>
    </w:p>
    <w:p w14:paraId="7A70B9B9" w14:textId="77777777" w:rsidR="00000000" w:rsidRDefault="00000000">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e-imza ile imzalanması zorunludur. Teklife ilişkin e-anahtar, e-teklif ile birlikte ihale tarih ve saatine kadar EKAP üzerinden gönderilir. </w:t>
      </w:r>
    </w:p>
    <w:p w14:paraId="5191D5AF" w14:textId="77777777" w:rsidR="00000000" w:rsidRDefault="00000000">
      <w:pPr>
        <w:jc w:val="both"/>
      </w:pPr>
      <w:r>
        <w:rPr>
          <w:b/>
          <w:bCs/>
        </w:rPr>
        <w:t>22.2.</w:t>
      </w:r>
      <w:r>
        <w:t xml:space="preserve"> Yeterlik bilgileri tablosunda ihaleye katılabilmek için gereken belgeler ve yeterlik kriterleri ile fiyat dışı unsurlar, teknik şartnameye cevaplar ve açıklamalar standart formunda ise açıklama istenen teknik özellikler için ayrı satırlar açılmış olup, istekliye ait hangi belgeler esas alınarak ihaleye katılım sağlanmış ise o belgelere ilişkin tarih, sayı, yevmiye numarası gibi bilgiler ile istenen kriterlere ve açıklamalara ilişkin belgelerde yer alan gerekli bilgiler eksiksiz olarak açık ve anlaşılır bir şekilde belirtilmek suretiyle ekli standart formalara uygun şekilde doldurulacaktır. Yabancı istekli tarafından ihaleye teklif verilmesi halinde, bu şartnamede istenilen belgelere veya isteklinin kendi ülkesindeki mevzuat uyarınca düzenlenmiş olan dengi belgelere ilişkin bilgilerin beyan edilmesi gerekir. </w:t>
      </w:r>
    </w:p>
    <w:p w14:paraId="62BF6E91" w14:textId="77777777" w:rsidR="00000000" w:rsidRDefault="00000000">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14:paraId="6501A244" w14:textId="77777777" w:rsidR="00000000" w:rsidRDefault="00000000">
      <w:pPr>
        <w:jc w:val="both"/>
      </w:pPr>
      <w:r>
        <w:rPr>
          <w:b/>
          <w:bCs/>
        </w:rPr>
        <w:t>22.4.</w:t>
      </w:r>
      <w:r>
        <w:t xml:space="preserve"> Teklifin ve buna ilişkin e-anahtarın EKAP'a alınma zamanı 5070 sayılı Elektronik İmza Kanunu ve ilgili ikincil mevzuatta düzenlenen zaman damgası ile kayıt altına alınır. Bu zamanın tespitinde atom saati kullanılır. </w:t>
      </w:r>
    </w:p>
    <w:p w14:paraId="0ABAF2A2" w14:textId="77777777" w:rsidR="00000000" w:rsidRDefault="00000000">
      <w:pPr>
        <w:jc w:val="both"/>
      </w:pPr>
      <w:r>
        <w:rPr>
          <w:b/>
          <w:bCs/>
        </w:rPr>
        <w:t>22.5.</w:t>
      </w:r>
      <w:r>
        <w:t xml:space="preserve"> İhale sürecinde idareler ve/veya kayıtlı gerçek ve tüzel kişilerce, teknik sorunlar nedeniyle EKAP üzerinde işlem yapılamaması halinde, ihale sürecine ilişkin işlemlerin mevzuata uygun şekilde sürdürülebilmesi ve hak kayıplarının önlenmesi amacına yönelik olarak alternatif sistemleri ve uygulamaları devreye almaya, gerekli hallerde bu ve ilgili işlemleri durdurmaya, ertelemeye, yenilemeye veyahut iptal etmeye yönelik tedbirleri almaya Kurum yetkilidir. Bu durumda EKAP üzerinden gerekli bildirimler yapılır. </w:t>
      </w:r>
    </w:p>
    <w:p w14:paraId="40FAE1DB" w14:textId="77777777" w:rsidR="00000000" w:rsidRDefault="00000000">
      <w:pPr>
        <w:jc w:val="both"/>
      </w:pPr>
      <w:r>
        <w:rPr>
          <w:b/>
          <w:bCs/>
        </w:rPr>
        <w:t>22.6.</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73B76074" w14:textId="77777777" w:rsidR="00000000" w:rsidRDefault="00000000">
      <w:pPr>
        <w:jc w:val="both"/>
      </w:pPr>
      <w:r>
        <w:rPr>
          <w:b/>
          <w:bCs/>
        </w:rPr>
        <w:t>22.7.</w:t>
      </w:r>
      <w:r>
        <w:t xml:space="preserve"> Bu madde boş bırakılmıştır. </w:t>
      </w:r>
    </w:p>
    <w:p w14:paraId="5CFC306F" w14:textId="77777777" w:rsidR="00000000" w:rsidRDefault="00000000">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üzerinden sorgulanarak teyit edilemeyenler ekleri ile birlikte, belgelerin sunuluş şekline uygun olarak süresi içerisinde sunulmak zorundadır. </w:t>
      </w:r>
    </w:p>
    <w:p w14:paraId="51DAFA8C" w14:textId="77777777" w:rsidR="00000000" w:rsidRDefault="00000000">
      <w:pPr>
        <w:spacing w:before="120"/>
        <w:jc w:val="both"/>
      </w:pPr>
      <w:r>
        <w:rPr>
          <w:b/>
          <w:bCs/>
          <w:color w:val="auto"/>
        </w:rPr>
        <w:t xml:space="preserve">Madde 23 - Elektronik eksiltme </w:t>
      </w:r>
    </w:p>
    <w:p w14:paraId="58CAC019" w14:textId="77777777" w:rsidR="00000000" w:rsidRDefault="00000000">
      <w:pPr>
        <w:jc w:val="both"/>
      </w:pPr>
      <w:r>
        <w:rPr>
          <w:b/>
          <w:bCs/>
        </w:rPr>
        <w:t>23.1.</w:t>
      </w:r>
      <w:r>
        <w:t xml:space="preserve"> Bu ihalede elektronik eksiltme yapılmayacaktır. </w:t>
      </w:r>
    </w:p>
    <w:p w14:paraId="753866DB" w14:textId="77777777" w:rsidR="00000000" w:rsidRDefault="00000000">
      <w:pPr>
        <w:spacing w:before="120"/>
        <w:jc w:val="both"/>
      </w:pPr>
      <w:r>
        <w:rPr>
          <w:b/>
          <w:bCs/>
          <w:color w:val="auto"/>
        </w:rPr>
        <w:t>Madde 24 - Tekliflerin geçerlilik süresi</w:t>
      </w:r>
    </w:p>
    <w:p w14:paraId="0FCECF5B" w14:textId="77777777" w:rsidR="00000000" w:rsidRDefault="00000000">
      <w:pPr>
        <w:jc w:val="both"/>
      </w:pPr>
      <w:r>
        <w:rPr>
          <w:b/>
          <w:bCs/>
        </w:rPr>
        <w:t>24.1.</w:t>
      </w:r>
      <w:r>
        <w:t xml:space="preserve"> Tekliflerin geçerlilik süresi, ihale tarihinden itibaren </w:t>
      </w:r>
      <w:r>
        <w:rPr>
          <w:rStyle w:val="richtext"/>
          <w:b/>
          <w:bCs/>
          <w:color w:val="003399"/>
          <w:u w:val="dotted"/>
        </w:rPr>
        <w:t>120</w:t>
      </w:r>
      <w:r>
        <w:t xml:space="preserve"> - </w:t>
      </w:r>
      <w:r>
        <w:rPr>
          <w:rStyle w:val="richtext"/>
          <w:b/>
          <w:bCs/>
          <w:color w:val="003399"/>
          <w:u w:val="dotted"/>
        </w:rPr>
        <w:t>YüzYirmi</w:t>
      </w:r>
      <w:r>
        <w:t xml:space="preserve"> (rakam ve yazıyla) takvim günüdür. </w:t>
      </w:r>
    </w:p>
    <w:p w14:paraId="0BF589D6" w14:textId="77777777" w:rsidR="00000000" w:rsidRDefault="00000000">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14:paraId="65B59DEC" w14:textId="77777777" w:rsidR="00000000" w:rsidRDefault="00000000">
      <w:pPr>
        <w:jc w:val="both"/>
      </w:pPr>
      <w:r>
        <w:rPr>
          <w:b/>
          <w:bCs/>
        </w:rPr>
        <w:lastRenderedPageBreak/>
        <w:t>24.3.</w:t>
      </w:r>
      <w:r>
        <w:t xml:space="preserve"> Teklifinin geçerlilik süresini uzatan istekli, teklif ve sözleşme koşullarını değiştirmeden, geçici teminatını kabul ettiği yeni teklif geçerlilik süresi ile geçici teminata ilişkin hükümlere uygun hale getirir. </w:t>
      </w:r>
    </w:p>
    <w:p w14:paraId="03785602" w14:textId="77777777" w:rsidR="00000000" w:rsidRDefault="00000000">
      <w:pPr>
        <w:jc w:val="both"/>
      </w:pPr>
      <w:r>
        <w:rPr>
          <w:b/>
          <w:bCs/>
        </w:rPr>
        <w:t>24.4.</w:t>
      </w:r>
      <w:r>
        <w:t xml:space="preserve"> Bu konudaki istek ve cevaplar yazılı olarak EKAP üzerinden yapılır. </w:t>
      </w:r>
    </w:p>
    <w:p w14:paraId="3A883416" w14:textId="77777777" w:rsidR="00000000" w:rsidRDefault="00000000">
      <w:pPr>
        <w:spacing w:before="120"/>
        <w:jc w:val="both"/>
      </w:pPr>
      <w:r>
        <w:rPr>
          <w:b/>
          <w:bCs/>
          <w:color w:val="auto"/>
        </w:rPr>
        <w:t>Madde 25 - Teklif fiyata dahil olan giderler</w:t>
      </w:r>
    </w:p>
    <w:p w14:paraId="16431406" w14:textId="77777777" w:rsidR="00000000" w:rsidRDefault="00000000">
      <w:pPr>
        <w:jc w:val="both"/>
      </w:pPr>
      <w:r>
        <w:rPr>
          <w:b/>
          <w:bCs/>
        </w:rPr>
        <w:t>25.1.</w:t>
      </w:r>
      <w:r>
        <w:t xml:space="preserve"> Sözleşmenin uygulanması sırasında, ilgili mevzuat gereğince ödenecek ulaşım, sigorta, vergi, resim ve harç giderleri teklif fiyatına dahildir. </w:t>
      </w:r>
    </w:p>
    <w:p w14:paraId="2663F077" w14:textId="77777777" w:rsidR="00000000" w:rsidRDefault="00000000">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630CC73E" w14:textId="77777777" w:rsidR="00000000" w:rsidRDefault="00000000">
      <w:pPr>
        <w:jc w:val="both"/>
      </w:pPr>
      <w:r>
        <w:rPr>
          <w:b/>
          <w:bCs/>
        </w:rPr>
        <w:t>25.3.</w:t>
      </w:r>
      <w:r>
        <w:t xml:space="preserve"> Teklif fiyata dahil olan diğer giderler aşağıda belirtilmiştir: </w:t>
      </w:r>
    </w:p>
    <w:p w14:paraId="7C447055" w14:textId="77777777" w:rsidR="00000000" w:rsidRDefault="00000000">
      <w:pPr>
        <w:jc w:val="both"/>
      </w:pPr>
      <w:r>
        <w:rPr>
          <w:b/>
          <w:bCs/>
        </w:rPr>
        <w:t>25.3.1.</w:t>
      </w:r>
      <w:r>
        <w:t xml:space="preserve"> </w:t>
      </w:r>
    </w:p>
    <w:p w14:paraId="689672C6" w14:textId="77777777" w:rsidR="00000000" w:rsidRDefault="00000000">
      <w:pPr>
        <w:jc w:val="both"/>
      </w:pPr>
      <w:r>
        <w:rPr>
          <w:b/>
          <w:bCs/>
        </w:rPr>
        <w:t>25.4.</w:t>
      </w:r>
      <w:r>
        <w:t xml:space="preserve"> Sözleşme konusu işin bedelinin ödenmesi aşamasında doğacak Katma Değer Vergisi (KDV), ilgili mevzuatı çerçevesinde İdare tarafından yükleniciye ayrıca ödenir. </w:t>
      </w:r>
    </w:p>
    <w:p w14:paraId="6EBE068B" w14:textId="77777777" w:rsidR="00000000" w:rsidRDefault="00000000">
      <w:pPr>
        <w:jc w:val="both"/>
      </w:pPr>
      <w:r>
        <w:rPr>
          <w:b/>
          <w:bCs/>
        </w:rPr>
        <w:t>25.5.</w:t>
      </w:r>
      <w:r>
        <w:t xml:space="preserve"> Bu madde boş bırakılmıştır. </w:t>
      </w:r>
    </w:p>
    <w:p w14:paraId="0B0E02ED" w14:textId="77777777" w:rsidR="00000000" w:rsidRDefault="00000000">
      <w:pPr>
        <w:spacing w:before="120"/>
        <w:jc w:val="both"/>
      </w:pPr>
      <w:r>
        <w:rPr>
          <w:b/>
          <w:bCs/>
          <w:color w:val="auto"/>
        </w:rPr>
        <w:t>Madde 26 - Geçici teminat</w:t>
      </w:r>
    </w:p>
    <w:p w14:paraId="3392FE76" w14:textId="77777777" w:rsidR="00000000" w:rsidRDefault="00000000">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14:paraId="2938CFD5" w14:textId="77777777" w:rsidR="00000000" w:rsidRDefault="00000000">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0389E57D" w14:textId="77777777" w:rsidR="00000000" w:rsidRDefault="00000000">
      <w:pPr>
        <w:jc w:val="both"/>
      </w:pPr>
      <w:r>
        <w:rPr>
          <w:b/>
          <w:bCs/>
        </w:rPr>
        <w:t>26.3.</w:t>
      </w:r>
      <w:r>
        <w:t xml:space="preserve"> Geçici teminat olarak kullanılan teminat mektuplarında geçerlilik tarihi belirtilmelidir. Bu tarih, </w:t>
      </w:r>
      <w:r>
        <w:rPr>
          <w:rStyle w:val="richtext"/>
          <w:b/>
          <w:bCs/>
          <w:color w:val="003399"/>
          <w:u w:val="dotted"/>
        </w:rPr>
        <w:t>16.01.2025</w:t>
      </w:r>
      <w:r>
        <w:t xml:space="preserve"> tarihinden önce olmamak üzere istekli tarafından belirlenir. </w:t>
      </w:r>
    </w:p>
    <w:p w14:paraId="5C35AE58" w14:textId="77777777" w:rsidR="00000000" w:rsidRDefault="00000000">
      <w:pPr>
        <w:jc w:val="both"/>
      </w:pPr>
      <w:r>
        <w:rPr>
          <w:b/>
          <w:bCs/>
        </w:rPr>
        <w:t>26.4.</w:t>
      </w:r>
      <w:r>
        <w:t xml:space="preserve"> Geçici teminatı ihalede istenilen katılma şartlarını sağlamayan teklifler degerlendirme dışı birakilacaktır. </w:t>
      </w:r>
    </w:p>
    <w:p w14:paraId="126E602E" w14:textId="77777777" w:rsidR="00000000" w:rsidRDefault="00000000">
      <w:pPr>
        <w:jc w:val="both"/>
      </w:pPr>
      <w:r>
        <w:rPr>
          <w:b/>
          <w:bCs/>
        </w:rPr>
        <w:t>26.5.</w:t>
      </w:r>
      <w:r>
        <w:t xml:space="preserve"> (Mülga 30/09/2020-31260 R.G. / 14.md.) </w:t>
      </w:r>
    </w:p>
    <w:p w14:paraId="2F6C8201" w14:textId="77777777" w:rsidR="00000000" w:rsidRDefault="00000000">
      <w:pPr>
        <w:spacing w:before="120"/>
        <w:jc w:val="both"/>
      </w:pPr>
      <w:r>
        <w:rPr>
          <w:b/>
          <w:bCs/>
          <w:color w:val="auto"/>
        </w:rPr>
        <w:t>Madde 27- Teminat olarak kabul edilecek değerler</w:t>
      </w:r>
    </w:p>
    <w:p w14:paraId="70C42A2A" w14:textId="77777777" w:rsidR="00000000" w:rsidRDefault="00000000">
      <w:pPr>
        <w:jc w:val="both"/>
      </w:pPr>
      <w:r>
        <w:rPr>
          <w:b/>
          <w:bCs/>
        </w:rPr>
        <w:t>27.1.</w:t>
      </w:r>
      <w:r>
        <w:t xml:space="preserve"> Teminat olarak kabul edilecek değerler aşağıda sayılmıştır: </w:t>
      </w:r>
    </w:p>
    <w:p w14:paraId="30928A3D" w14:textId="77777777" w:rsidR="00000000" w:rsidRDefault="00000000">
      <w:pPr>
        <w:jc w:val="both"/>
        <w:divId w:val="1793666755"/>
        <w:rPr>
          <w:rFonts w:eastAsia="Times New Roman"/>
        </w:rPr>
      </w:pPr>
      <w:r>
        <w:rPr>
          <w:rFonts w:eastAsia="Times New Roman"/>
        </w:rPr>
        <w:t xml:space="preserve">a)Tedavüldeki Türk Parası. </w:t>
      </w:r>
    </w:p>
    <w:p w14:paraId="00CE1F1B" w14:textId="77777777" w:rsidR="00000000" w:rsidRDefault="00000000">
      <w:pPr>
        <w:jc w:val="both"/>
        <w:divId w:val="1793666755"/>
      </w:pPr>
      <w:r>
        <w:t xml:space="preserve">b)Geçici teminat ve kesin teminat mektuplan. </w:t>
      </w:r>
    </w:p>
    <w:p w14:paraId="7E8BF338" w14:textId="77777777" w:rsidR="00000000" w:rsidRDefault="00000000">
      <w:pPr>
        <w:jc w:val="both"/>
        <w:divId w:val="1793666755"/>
      </w:pPr>
      <w:r>
        <w:t>c)Hazine Müsteşarlığınca ihraç edilen Devlet İç Borçlanma Senetleri ve bu senetler yerine düzenlenen belgeler.</w:t>
      </w:r>
    </w:p>
    <w:p w14:paraId="59FEB630" w14:textId="77777777" w:rsidR="00000000" w:rsidRDefault="00000000">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14:paraId="1BA024C9" w14:textId="77777777" w:rsidR="00000000" w:rsidRDefault="00000000">
      <w:pPr>
        <w:jc w:val="both"/>
      </w:pPr>
      <w:r>
        <w:rPr>
          <w:b/>
          <w:bCs/>
        </w:rPr>
        <w:t>27.3.</w:t>
      </w:r>
      <w: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21.1 maddesinin (b) bendi kapsamında düzenleyecekleri teminat mektupları da teminat olarak kabul edilir. </w:t>
      </w:r>
    </w:p>
    <w:p w14:paraId="69AFE239" w14:textId="77777777" w:rsidR="00000000" w:rsidRDefault="00000000">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kabul edilmez. </w:t>
      </w:r>
    </w:p>
    <w:p w14:paraId="1B868F2F" w14:textId="77777777" w:rsidR="00000000" w:rsidRDefault="00000000">
      <w:pPr>
        <w:jc w:val="both"/>
      </w:pPr>
      <w:r>
        <w:rPr>
          <w:b/>
          <w:bCs/>
        </w:rPr>
        <w:t>27.5.</w:t>
      </w:r>
      <w:r>
        <w:t xml:space="preserve"> Teminatlar, teminat olarak kabul edilen diğer değerlerle değiştirilebilir. </w:t>
      </w:r>
    </w:p>
    <w:p w14:paraId="142FB5D3" w14:textId="77777777" w:rsidR="00000000" w:rsidRDefault="00000000">
      <w:pPr>
        <w:jc w:val="both"/>
      </w:pPr>
      <w:r>
        <w:rPr>
          <w:b/>
          <w:bCs/>
        </w:rPr>
        <w:t>27.6.</w:t>
      </w:r>
      <w:r>
        <w:t xml:space="preserve"> Her ne suretle olursa olsun, İdarece alınan teminatlar haczedilemez ve üzerine ihtiyati tedbir konulamaz. </w:t>
      </w:r>
    </w:p>
    <w:p w14:paraId="055F1887" w14:textId="77777777" w:rsidR="00000000" w:rsidRDefault="00000000">
      <w:pPr>
        <w:spacing w:before="120"/>
        <w:jc w:val="both"/>
      </w:pPr>
      <w:r>
        <w:rPr>
          <w:b/>
          <w:bCs/>
          <w:color w:val="auto"/>
        </w:rPr>
        <w:t>Madde 28- Geçici teminatın verilmesi</w:t>
      </w:r>
    </w:p>
    <w:p w14:paraId="2C3CA15A" w14:textId="77777777" w:rsidR="00000000" w:rsidRDefault="00000000">
      <w:pPr>
        <w:jc w:val="both"/>
      </w:pPr>
      <w:r>
        <w:rPr>
          <w:b/>
          <w:bCs/>
        </w:rPr>
        <w:lastRenderedPageBreak/>
        <w:t>28.1.</w:t>
      </w:r>
      <w:r>
        <w:t xml:space="preserve"> Geçici teminat mektubunu düzenleyen kuruluş tarafından mektuba verilen ayırt edici numara yeterlik bilgileri tablosunun ilgili bölümünde belirtilir. </w:t>
      </w:r>
    </w:p>
    <w:p w14:paraId="2D06B6EA" w14:textId="77777777" w:rsidR="00000000" w:rsidRDefault="00000000">
      <w:pPr>
        <w:jc w:val="both"/>
      </w:pPr>
      <w:r>
        <w:rPr>
          <w:b/>
          <w:bCs/>
        </w:rPr>
        <w:t>28.2.</w:t>
      </w:r>
      <w:r>
        <w:t xml:space="preserve"> Teminat mektupları dışındaki teminatların </w:t>
      </w:r>
      <w:r>
        <w:rPr>
          <w:rStyle w:val="richtext"/>
          <w:b/>
          <w:bCs/>
          <w:color w:val="003399"/>
          <w:u w:val="dotted"/>
        </w:rPr>
        <w:t>BORÇKA MALMÜDÜRLÜĞÜ</w:t>
      </w:r>
      <w:r>
        <w:t xml:space="preserve"> yatırılması ve teminatın yatırıldığını gösteren belgelere ilişkin bilgilerin yeterlik bilgileri tablosunun ilgili bölümünde belirtilmesi gerekir. </w:t>
      </w:r>
    </w:p>
    <w:p w14:paraId="75A3F1D7" w14:textId="77777777" w:rsidR="00000000" w:rsidRDefault="00000000">
      <w:pPr>
        <w:spacing w:before="120"/>
        <w:jc w:val="both"/>
      </w:pPr>
      <w:r>
        <w:rPr>
          <w:b/>
          <w:bCs/>
          <w:color w:val="auto"/>
        </w:rPr>
        <w:t>Madde 29 - Geçici teminatın serbest bırakılması/iadesi</w:t>
      </w:r>
    </w:p>
    <w:p w14:paraId="2D81C635" w14:textId="77777777" w:rsidR="00000000" w:rsidRDefault="00000000">
      <w:pPr>
        <w:jc w:val="both"/>
      </w:pPr>
      <w:r>
        <w:rPr>
          <w:b/>
          <w:bCs/>
        </w:rPr>
        <w:t>29.1.</w:t>
      </w:r>
      <w:r>
        <w:t xml:space="preserve"> İhale üzerinde bırakılan istekli ile ekonomik açıdan en avantajlı ikinci teklif sahibi istekliye ait teminat mektubu dışındaki teminatlar ihaleden sonra Saymanlık ya da Muhasebe Müdürlüklerine teslim edilir. Diğer isteklilere ait teminatlar ise hemen serbest bırakılır/iade edilir. </w:t>
      </w:r>
    </w:p>
    <w:p w14:paraId="669DB7E4" w14:textId="77777777" w:rsidR="00000000" w:rsidRDefault="00000000">
      <w:pPr>
        <w:jc w:val="both"/>
      </w:pPr>
      <w:r>
        <w:rPr>
          <w:b/>
          <w:bCs/>
        </w:rPr>
        <w:t>29.2.</w:t>
      </w:r>
      <w:r>
        <w:t xml:space="preserve"> İhale üzerinde kalan isteklinin geçici teminatı ise gerekli kesin teminatın verilip sözleşmeyi imzalaması halinde serbest bırakılır/iade edilir. </w:t>
      </w:r>
    </w:p>
    <w:p w14:paraId="4BA4A176" w14:textId="77777777" w:rsidR="00000000" w:rsidRDefault="00000000">
      <w:pPr>
        <w:jc w:val="both"/>
      </w:pPr>
      <w:r>
        <w:rPr>
          <w:b/>
          <w:bCs/>
        </w:rPr>
        <w:t>29.3.</w:t>
      </w:r>
      <w:r>
        <w:t xml:space="preserve"> İhale üzerinde kalan istekli ile sözleşme imzalanması halinde, ekonomik açıdan en avantajlı ikinci teklif sahibine ait geçici teminat, sözleşme imzalandıktan hemen sonra serbest bırakılır/iade edilir. </w:t>
      </w:r>
    </w:p>
    <w:p w14:paraId="05D2FA79" w14:textId="77777777" w:rsidR="00000000" w:rsidRDefault="00000000">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14:paraId="09DF95D4" w14:textId="77777777" w:rsidR="00000000" w:rsidRDefault="00000000">
      <w:pPr>
        <w:spacing w:before="120"/>
        <w:jc w:val="both"/>
      </w:pPr>
      <w:r>
        <w:rPr>
          <w:b/>
          <w:bCs/>
          <w:color w:val="auto"/>
        </w:rPr>
        <w:t>Madde 30 - Tekliflerin alınması ve açılması</w:t>
      </w:r>
    </w:p>
    <w:p w14:paraId="61839D63" w14:textId="77777777" w:rsidR="00000000" w:rsidRDefault="00000000">
      <w:pPr>
        <w:jc w:val="both"/>
      </w:pPr>
      <w:r>
        <w:rPr>
          <w:b/>
          <w:bCs/>
        </w:rPr>
        <w:t>30.1.</w:t>
      </w:r>
      <w:r>
        <w:t xml:space="preserve"> Teklifler, bu Şartnamede belirtilen ihale saatine kadar EKAP üzerinden verilecektir. </w:t>
      </w:r>
    </w:p>
    <w:p w14:paraId="1139C1B9" w14:textId="77777777" w:rsidR="00000000" w:rsidRDefault="00000000">
      <w:pPr>
        <w:jc w:val="both"/>
      </w:pPr>
      <w:r>
        <w:rPr>
          <w:b/>
          <w:bCs/>
        </w:rPr>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edilerek açılamama gerekçeleri belirtilmek suretiyle, EKAP üzerinden "Açılamayan e-tekliflere İlişkin İhale Komisyonu Tutanağı" düzenlenir. İhale komisyonunca ihale saatine kadar kaç teklif verilmiş olduğu EKAP üzerinde ve hazır bulunanlara duyurulur. İsteklilerin teklif mektubu ile geçici teminatlarının usulüne uygun olup olmadığı kontrol edilir. Kanunun 21 inci maddesine göre pazarlık usulü ile yapılan ihaleler ile fiyat veya fiyat ile birlikte fiyat dışı unsurlar üzerinden elektronik eksiltme yapılması öngörülen ihaleler dışındaki ihalelerde; istekliler ile teklif fiyatları ve yaklaşık maliyet açıklanarak, EKAP üzerinden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ve talep etmeleri halinde hazır bulunan isteklilere birer örneği verilir. Bu aşamada hiçbir teklifin reddine veya kabulüne karar verilemez. Teklifler ihale komisyonunca hemen değerlendirilmek üzere ilk oturum kapatılır. </w:t>
      </w:r>
    </w:p>
    <w:p w14:paraId="6FC9991E" w14:textId="77777777" w:rsidR="00000000" w:rsidRDefault="00000000">
      <w:pPr>
        <w:spacing w:before="120"/>
        <w:jc w:val="both"/>
      </w:pPr>
      <w:r>
        <w:rPr>
          <w:b/>
          <w:bCs/>
          <w:color w:val="auto"/>
        </w:rPr>
        <w:t>Madde 31 - Tekliflerin değerlendirilmesi</w:t>
      </w:r>
    </w:p>
    <w:p w14:paraId="2403F59B" w14:textId="77777777" w:rsidR="00000000" w:rsidRDefault="00000000">
      <w:pPr>
        <w:jc w:val="both"/>
      </w:pPr>
      <w:r>
        <w:rPr>
          <w:b/>
          <w:bCs/>
        </w:rPr>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14:paraId="46F20FC1" w14:textId="77777777" w:rsidR="00000000" w:rsidRDefault="00000000">
      <w:pPr>
        <w:jc w:val="both"/>
      </w:pPr>
      <w:r>
        <w:rPr>
          <w:b/>
          <w:bCs/>
        </w:rPr>
        <w:t>31.2.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14:paraId="4F532DCA" w14:textId="77777777" w:rsidR="00000000" w:rsidRDefault="00000000">
      <w:pPr>
        <w:jc w:val="both"/>
      </w:pPr>
      <w:r>
        <w:rPr>
          <w:b/>
          <w:bCs/>
        </w:rPr>
        <w:t>31.3.</w:t>
      </w:r>
      <w:r>
        <w:t xml:space="preserve"> İhale dokümanında belirtilen geçici teminat mektubu, katılım belgeleri ve yeterlik kriterleri ile fiyat dışı unsurlara ve istenilmişse teknik şartnameye cevaplar ve açıklamalara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beyan edilen bilgiler esas alınarak yapılır.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w:t>
      </w:r>
    </w:p>
    <w:p w14:paraId="45106D95" w14:textId="77777777" w:rsidR="00000000" w:rsidRDefault="00000000">
      <w:pPr>
        <w:jc w:val="both"/>
      </w:pPr>
      <w:r>
        <w:rPr>
          <w:b/>
          <w:bCs/>
        </w:rPr>
        <w:t>31.4.</w:t>
      </w:r>
      <w:r>
        <w:t xml:space="preserve"> Bu madde boş bırakılmıştır. </w:t>
      </w:r>
    </w:p>
    <w:p w14:paraId="2248C6BF" w14:textId="77777777" w:rsidR="00000000" w:rsidRDefault="00000000">
      <w:pPr>
        <w:jc w:val="both"/>
      </w:pPr>
      <w:r>
        <w:rPr>
          <w:b/>
          <w:bCs/>
        </w:rPr>
        <w:lastRenderedPageBreak/>
        <w:t>31.5.</w:t>
      </w:r>
      <w:r>
        <w:t xml:space="preserve"> Bu madde boş bırakılmıştır. </w:t>
      </w:r>
    </w:p>
    <w:p w14:paraId="5CFD4A27" w14:textId="77777777" w:rsidR="00000000" w:rsidRDefault="00000000">
      <w:pPr>
        <w:jc w:val="both"/>
      </w:pPr>
      <w:r>
        <w:rPr>
          <w:b/>
          <w:bCs/>
        </w:rPr>
        <w:t>31.6.</w:t>
      </w:r>
      <w:r>
        <w:t xml:space="preserve"> İhale komisyonu verilen teklifleri değerlendirdikten sonra Kurum tarafından belirlenen yönteme göre sınır değeri hesaplar ve aşırı düşük teklifleri 33 üncü maddeye göre değerlendirir. </w:t>
      </w:r>
    </w:p>
    <w:p w14:paraId="7C129FEB" w14:textId="77777777" w:rsidR="00000000" w:rsidRDefault="00000000">
      <w:pPr>
        <w:jc w:val="both"/>
      </w:pPr>
      <w:r>
        <w:rPr>
          <w:b/>
          <w:bCs/>
        </w:rPr>
        <w:t>31.7.</w:t>
      </w:r>
      <w:r>
        <w:t xml:space="preserve"> Bu madde boş bırakılmıştır. </w:t>
      </w:r>
    </w:p>
    <w:p w14:paraId="718DEDD5" w14:textId="77777777" w:rsidR="00000000" w:rsidRDefault="00000000">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EKAP üzerinden Uygun Olmayan e-Teklif Kontrol Tutanağı düzenlenir ve değerlendirme dışı bırakma işleminin gerekçeleri belirtilir. </w:t>
      </w:r>
    </w:p>
    <w:p w14:paraId="6CEA0122" w14:textId="77777777" w:rsidR="00000000" w:rsidRDefault="00000000">
      <w:pPr>
        <w:spacing w:before="120"/>
        <w:jc w:val="both"/>
      </w:pPr>
      <w:r>
        <w:rPr>
          <w:b/>
          <w:bCs/>
          <w:color w:val="auto"/>
        </w:rPr>
        <w:t>Madde 32- İsteklilerden tekliflerine açıklık getirmelerinin istenilmesi</w:t>
      </w:r>
    </w:p>
    <w:p w14:paraId="683A5FD3" w14:textId="77777777" w:rsidR="00000000" w:rsidRDefault="00000000">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14:paraId="227AFFD7" w14:textId="77777777" w:rsidR="00000000" w:rsidRDefault="00000000">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63B59AF1" w14:textId="77777777" w:rsidR="00000000" w:rsidRDefault="00000000">
      <w:pPr>
        <w:spacing w:before="120"/>
        <w:jc w:val="both"/>
      </w:pPr>
      <w:r>
        <w:rPr>
          <w:b/>
          <w:bCs/>
          <w:color w:val="auto"/>
        </w:rPr>
        <w:t>Madde 33 - Aşırı düşük teklifler</w:t>
      </w:r>
    </w:p>
    <w:p w14:paraId="49060676" w14:textId="77777777" w:rsidR="00000000" w:rsidRDefault="00000000">
      <w:pPr>
        <w:jc w:val="both"/>
      </w:pPr>
      <w:r>
        <w:rPr>
          <w:b/>
          <w:bCs/>
        </w:rPr>
        <w:t>33.1.</w:t>
      </w:r>
      <w:r>
        <w:t xml:space="preserve"> Teklifi sınır değerin altında kalan isteklilerden Kanunun 38 inci maddesine göre açıklama istenecektir. Bu kapsamda; ihale komisyonu sınır değerin altında kalan teklifleri aşırı düşük teklif olarak tespit eder ve bu teklif sahiplerinden Kurum tarafından belirlenen kriterlere göre teklifte önemli olduğunu tespit ettiği bileşenler ile ilgili ayrıntıları yazılı olarak ister. İhale komisyonu; </w:t>
      </w:r>
    </w:p>
    <w:p w14:paraId="0732C0D3" w14:textId="77777777" w:rsidR="00000000" w:rsidRDefault="00000000">
      <w:pPr>
        <w:jc w:val="both"/>
        <w:divId w:val="1916354473"/>
        <w:rPr>
          <w:rFonts w:eastAsia="Times New Roman"/>
        </w:rPr>
      </w:pPr>
      <w:r>
        <w:rPr>
          <w:rFonts w:eastAsia="Times New Roman"/>
        </w:rPr>
        <w:t xml:space="preserve">a) Verilen hizmetin ekonomik olması, </w:t>
      </w:r>
    </w:p>
    <w:p w14:paraId="411C1DF8" w14:textId="77777777" w:rsidR="00000000" w:rsidRDefault="00000000">
      <w:pPr>
        <w:jc w:val="both"/>
        <w:divId w:val="1916354473"/>
      </w:pPr>
      <w:r>
        <w:t xml:space="preserve">b) Seçilen teknik çözümler ve teklif sahibinin işin yerine getirilmesinde kullanacağı avantajlı koşullar, </w:t>
      </w:r>
    </w:p>
    <w:p w14:paraId="6EB67939" w14:textId="77777777" w:rsidR="00000000" w:rsidRDefault="00000000">
      <w:pPr>
        <w:jc w:val="both"/>
        <w:divId w:val="1916354473"/>
      </w:pPr>
      <w:r>
        <w:t>c) Teklif edilen hizmetin özgünlüğü,</w:t>
      </w:r>
    </w:p>
    <w:p w14:paraId="69558082" w14:textId="77777777" w:rsidR="00000000" w:rsidRDefault="00000000">
      <w:pPr>
        <w:jc w:val="both"/>
      </w:pPr>
      <w:r>
        <w:t xml:space="preserve">gibi hususlarda yapılan yazılı açıklamaları dikkate alarak aşırı düşük teklifleri değerlendirir. Bu değerlendirme sonucunda, açıklamaları yeterli görülmeyen veya yazılı açıklamada bulunmayan isteklilerin teklifi reddedilir. </w:t>
      </w:r>
    </w:p>
    <w:p w14:paraId="102FDE5C" w14:textId="77777777" w:rsidR="00000000" w:rsidRDefault="00000000">
      <w:pPr>
        <w:spacing w:before="120"/>
        <w:jc w:val="both"/>
      </w:pPr>
      <w:r>
        <w:rPr>
          <w:b/>
          <w:bCs/>
          <w:color w:val="auto"/>
        </w:rPr>
        <w:t>Madde 34 - Bütün tekliflerin reddedilmesi ve ihalenin iptal edilmesi</w:t>
      </w:r>
    </w:p>
    <w:p w14:paraId="17722ED0" w14:textId="77777777" w:rsidR="00000000" w:rsidRDefault="00000000">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14:paraId="127AAEAB" w14:textId="77777777" w:rsidR="00000000" w:rsidRDefault="00000000">
      <w:pPr>
        <w:jc w:val="both"/>
      </w:pPr>
      <w:r>
        <w:rPr>
          <w:b/>
          <w:bCs/>
        </w:rPr>
        <w:t>34.2.</w:t>
      </w:r>
      <w:r>
        <w:t xml:space="preserve"> İhalenin iptal edilmesi halinde bu durum, bütün isteklilere gerekçesiyle birlikte derhal bildirilir. </w:t>
      </w:r>
    </w:p>
    <w:p w14:paraId="078B8614" w14:textId="77777777" w:rsidR="00000000" w:rsidRDefault="00000000">
      <w:pPr>
        <w:spacing w:before="120"/>
        <w:jc w:val="both"/>
      </w:pPr>
      <w:r>
        <w:rPr>
          <w:b/>
          <w:bCs/>
          <w:color w:val="auto"/>
        </w:rPr>
        <w:t>Madde 35 - Ekonomik açıdan en avantajlı teklifin belirlenmesi</w:t>
      </w:r>
    </w:p>
    <w:p w14:paraId="0EA36A56" w14:textId="77777777" w:rsidR="00000000" w:rsidRDefault="00000000">
      <w:pPr>
        <w:jc w:val="both"/>
      </w:pPr>
      <w:r>
        <w:rPr>
          <w:b/>
          <w:bCs/>
        </w:rPr>
        <w:t>35.1.</w:t>
      </w:r>
      <w:r>
        <w:t xml:space="preserve"> Bu ihalede ekonomik açıdan en avantajlı teklif, teklif edilen fiyatların en düşük olanıdır. </w:t>
      </w:r>
    </w:p>
    <w:p w14:paraId="2E331A25" w14:textId="77777777" w:rsidR="00000000" w:rsidRDefault="00000000">
      <w:pPr>
        <w:jc w:val="both"/>
      </w:pPr>
      <w:r>
        <w:rPr>
          <w:b/>
          <w:bCs/>
        </w:rPr>
        <w:t>35.1.1.</w:t>
      </w:r>
      <w:r>
        <w:t xml:space="preserve"> Bu madde boş bırakılmıştır. </w:t>
      </w:r>
    </w:p>
    <w:p w14:paraId="797EBA0E" w14:textId="77777777" w:rsidR="00000000" w:rsidRDefault="00000000">
      <w:pPr>
        <w:jc w:val="both"/>
      </w:pPr>
      <w:r>
        <w:rPr>
          <w:b/>
          <w:bCs/>
        </w:rPr>
        <w:t>35.1.2.</w:t>
      </w:r>
      <w:r>
        <w:t xml:space="preserve"> Bu madde boş bırakılmıştır. </w:t>
      </w:r>
    </w:p>
    <w:p w14:paraId="0DB4A945" w14:textId="77777777" w:rsidR="00000000" w:rsidRDefault="00000000">
      <w:pPr>
        <w:jc w:val="both"/>
      </w:pPr>
      <w:r>
        <w:rPr>
          <w:b/>
          <w:bCs/>
        </w:rPr>
        <w:t>35.2</w:t>
      </w:r>
      <w:r>
        <w:t xml:space="preserve"> Ekonomik açıdan en avantajlı teklifin birden fazla istekli tarafından verilmiş olması halinde ilgili uygulama yönetmeliğinde düzenlenen usule göre ihale sonuçlandırılacaktır. </w:t>
      </w:r>
    </w:p>
    <w:p w14:paraId="66CE6B0B" w14:textId="77777777" w:rsidR="00000000" w:rsidRDefault="00000000">
      <w:pPr>
        <w:jc w:val="both"/>
      </w:pPr>
      <w:r>
        <w:rPr>
          <w:b/>
          <w:bCs/>
        </w:rPr>
        <w:t>35.2.1.</w:t>
      </w:r>
      <w:r>
        <w:t xml:space="preserve"> Ekonomik açıdan en avantajlı teklifin birden fazla istekli tarafından verilmiş olması halinde; </w:t>
      </w:r>
    </w:p>
    <w:p w14:paraId="17ED80EE" w14:textId="77777777" w:rsidR="00000000" w:rsidRDefault="00000000">
      <w:pPr>
        <w:jc w:val="both"/>
      </w:pPr>
      <w:r>
        <w:rPr>
          <w:rStyle w:val="richtext"/>
          <w:b/>
          <w:bCs/>
          <w:color w:val="003399"/>
          <w:u w:val="dotted"/>
        </w:rPr>
        <w:t>Elektronik eksiltme yapılmayan 1, 2, 3, 4, 5, 6, 7, 8, 9, 10, 11, 12, 13, 14, 15, 16, 17, 18, 19, 20, 21, 22, 23, 24, 25, 26, 27, 28, 29, 30, 31, 32, 33, 34, 35, 36, 37, 38, 39, 40, 41, 42, 43, 44, 45, 46, 47, 48, 49 kısımda/kısımlarda Hizmet Alımı İhaleleri Uygulama Yönetmeliğinin 63 üncü maddesinin birinci fıkrasında düzenlenen kriterler sırasıyla dikkate alınarak ekonomik açıdan en avantajlı teklif belirlenir.</w:t>
      </w:r>
    </w:p>
    <w:p w14:paraId="0D77EE93" w14:textId="77777777" w:rsidR="00000000" w:rsidRDefault="00000000">
      <w:pPr>
        <w:jc w:val="both"/>
      </w:pPr>
      <w:r>
        <w:rPr>
          <w:b/>
          <w:bCs/>
        </w:rPr>
        <w:t>35.3.</w:t>
      </w:r>
      <w:r>
        <w:t xml:space="preserve"> Fiyat avantajı uygulanması: </w:t>
      </w:r>
    </w:p>
    <w:p w14:paraId="4D083526" w14:textId="77777777" w:rsidR="00000000" w:rsidRDefault="00000000">
      <w:pPr>
        <w:jc w:val="both"/>
      </w:pPr>
      <w:r>
        <w:rPr>
          <w:b/>
          <w:bCs/>
        </w:rPr>
        <w:t>35.3.1.</w:t>
      </w:r>
      <w:r>
        <w:t xml:space="preserve"> Bu madde boş bırakılmıştır. </w:t>
      </w:r>
    </w:p>
    <w:p w14:paraId="4EEBD20A" w14:textId="77777777" w:rsidR="00000000" w:rsidRDefault="00000000">
      <w:pPr>
        <w:jc w:val="both"/>
      </w:pPr>
      <w:r>
        <w:rPr>
          <w:b/>
          <w:bCs/>
        </w:rPr>
        <w:t>35.4.</w:t>
      </w:r>
      <w:r>
        <w:t xml:space="preserve"> Bu madde boş bırakılacaktır. </w:t>
      </w:r>
    </w:p>
    <w:p w14:paraId="47E59E4D" w14:textId="77777777" w:rsidR="00000000" w:rsidRDefault="00000000">
      <w:pPr>
        <w:spacing w:before="120"/>
        <w:jc w:val="both"/>
      </w:pPr>
      <w:r>
        <w:rPr>
          <w:b/>
          <w:bCs/>
          <w:color w:val="auto"/>
        </w:rPr>
        <w:t>Madde 36 - İhalenin karara bağlanması</w:t>
      </w:r>
    </w:p>
    <w:p w14:paraId="4EF6D38D" w14:textId="77777777" w:rsidR="00000000" w:rsidRDefault="00000000">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w:t>
      </w:r>
      <w:r>
        <w:lastRenderedPageBreak/>
        <w:t xml:space="preserve">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14:paraId="6E1EB16B" w14:textId="77777777" w:rsidR="00000000" w:rsidRDefault="00000000">
      <w:pPr>
        <w:jc w:val="both"/>
      </w:pPr>
      <w:r>
        <w:rPr>
          <w:b/>
          <w:bCs/>
        </w:rPr>
        <w:t>36.1.1.</w:t>
      </w:r>
      <w:r>
        <w:t xml:space="preserve"> Aşırı düşük teklif sorgulamasının yapıldığı ihalelerde, aşırı düşük teklif sahibi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14:paraId="2A8956F9" w14:textId="77777777" w:rsidR="00000000" w:rsidRDefault="00000000">
      <w:pPr>
        <w:jc w:val="both"/>
      </w:pPr>
      <w:r>
        <w:rPr>
          <w:b/>
          <w:bCs/>
        </w:rPr>
        <w:t>36.2.</w:t>
      </w:r>
      <w: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14:paraId="71DA6718" w14:textId="77777777" w:rsidR="00000000" w:rsidRDefault="00000000">
      <w:pPr>
        <w:jc w:val="both"/>
      </w:pPr>
      <w:r>
        <w:rPr>
          <w:b/>
          <w:bCs/>
        </w:rPr>
        <w:lastRenderedPageBreak/>
        <w:t>36.3.</w:t>
      </w:r>
      <w:r>
        <w:t xml:space="preserve"> Mülga </w:t>
      </w:r>
    </w:p>
    <w:p w14:paraId="62B1FF59" w14:textId="77777777" w:rsidR="00000000" w:rsidRDefault="00000000">
      <w:pPr>
        <w:jc w:val="both"/>
      </w:pPr>
      <w:r>
        <w:rPr>
          <w:b/>
          <w:bCs/>
        </w:rPr>
        <w:t>36.4.</w:t>
      </w:r>
      <w:r>
        <w:t xml:space="preserve"> Değerlendirme dışı bırakılan teklifler için EKAP üzerinden Uygun Olmayan e-Teklif Kontrol Tutanağı düzenlenerek uygun görülmeme gerekçeleri belirtilir. </w:t>
      </w:r>
    </w:p>
    <w:p w14:paraId="619DEE71" w14:textId="77777777" w:rsidR="00000000" w:rsidRDefault="00000000">
      <w:pPr>
        <w:jc w:val="both"/>
      </w:pPr>
      <w:r>
        <w:rPr>
          <w:b/>
          <w:bCs/>
        </w:rPr>
        <w:t>36.5.</w:t>
      </w:r>
      <w:r>
        <w:t xml:space="preserve"> Yapılan değerlendirme sonucunda ihale komisyonu tarafından ihale, ekonomik açıdan en avantajlı teklifi veren istekli üzerinde bırakılır. </w:t>
      </w:r>
    </w:p>
    <w:p w14:paraId="02D16196" w14:textId="77777777" w:rsidR="00000000" w:rsidRDefault="00000000">
      <w:pPr>
        <w:jc w:val="both"/>
      </w:pPr>
      <w:r>
        <w:rPr>
          <w:b/>
          <w:bCs/>
        </w:rPr>
        <w:t>36.6</w:t>
      </w:r>
      <w:r>
        <w:t xml:space="preserve">. İhale komisyonu, yapacağı değerlendirme sonucunda gerekçeli bir karar alarak ihale yetkilisinin onayına sunar. </w:t>
      </w:r>
    </w:p>
    <w:p w14:paraId="359966A0" w14:textId="77777777" w:rsidR="00000000" w:rsidRDefault="00000000">
      <w:pPr>
        <w:spacing w:before="120"/>
        <w:jc w:val="both"/>
      </w:pPr>
      <w:r>
        <w:rPr>
          <w:b/>
          <w:bCs/>
          <w:color w:val="auto"/>
        </w:rPr>
        <w:t>Madde 37 - İhale kararının onaylanması veya iptali</w:t>
      </w:r>
    </w:p>
    <w:p w14:paraId="5902C545" w14:textId="77777777" w:rsidR="00000000" w:rsidRDefault="00000000">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5A56BAF0" w14:textId="77777777" w:rsidR="00000000" w:rsidRDefault="00000000">
      <w:pPr>
        <w:jc w:val="both"/>
      </w:pPr>
      <w:r>
        <w:rPr>
          <w:b/>
          <w:bCs/>
        </w:rPr>
        <w:t>37.2.</w:t>
      </w:r>
      <w:r>
        <w:t xml:space="preserve"> Yapılan teyit işlemi sonucunda, her iki isteklinin de yasaklı çıkması durumunda ihale iptal edilir. </w:t>
      </w:r>
    </w:p>
    <w:p w14:paraId="4C4E5EFB" w14:textId="77777777" w:rsidR="00000000" w:rsidRDefault="00000000">
      <w:pPr>
        <w:jc w:val="both"/>
      </w:pPr>
      <w:r>
        <w:rPr>
          <w:b/>
          <w:bCs/>
        </w:rPr>
        <w:t>37.3.</w:t>
      </w:r>
      <w:r>
        <w:t xml:space="preserve"> İhale yetkilisi, karar tarihini izleyen en geç beş iş günü içinde ihale kararını onaylar veya gerekçesini açıkça belirtmek suretiyle iptal eder. </w:t>
      </w:r>
    </w:p>
    <w:p w14:paraId="759E9C32" w14:textId="77777777" w:rsidR="00000000" w:rsidRDefault="00000000">
      <w:pPr>
        <w:jc w:val="both"/>
      </w:pPr>
      <w:r>
        <w:rPr>
          <w:b/>
          <w:bCs/>
        </w:rPr>
        <w:t>37.4.</w:t>
      </w:r>
      <w:r>
        <w:t xml:space="preserve"> İhale; kararın ihale yetkilisince onaylanması halinde geçerli, iptal edilmesi halinde ise hükümsüz sayılır. </w:t>
      </w:r>
    </w:p>
    <w:p w14:paraId="60DB2246" w14:textId="77777777" w:rsidR="00000000" w:rsidRDefault="00000000">
      <w:pPr>
        <w:spacing w:before="120"/>
        <w:jc w:val="both"/>
      </w:pPr>
      <w:r>
        <w:rPr>
          <w:b/>
          <w:bCs/>
          <w:color w:val="auto"/>
        </w:rPr>
        <w:t>Madde 38 - Kesinleşen ihale kararının bildirilmesi</w:t>
      </w:r>
    </w:p>
    <w:p w14:paraId="51BEB7DD" w14:textId="77777777" w:rsidR="00000000" w:rsidRDefault="00000000">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14:paraId="1CA06A5C" w14:textId="77777777" w:rsidR="00000000" w:rsidRDefault="00000000">
      <w:pPr>
        <w:jc w:val="both"/>
      </w:pPr>
      <w:r>
        <w:rPr>
          <w:b/>
          <w:bCs/>
        </w:rPr>
        <w:t>38.2.</w:t>
      </w:r>
      <w:r>
        <w:t xml:space="preserve"> İhale kararının ihale yetkilisi tarafından iptal edilmesi durumunda da isteklilere gerekçeleri belirtilmek suretiyle bildirim yapılır. </w:t>
      </w:r>
    </w:p>
    <w:p w14:paraId="511D136D" w14:textId="77777777" w:rsidR="00000000" w:rsidRDefault="00000000">
      <w:pPr>
        <w:jc w:val="both"/>
      </w:pPr>
      <w:r>
        <w:rPr>
          <w:b/>
          <w:bCs/>
        </w:rPr>
        <w:t>38.3.</w:t>
      </w:r>
      <w:r>
        <w:t xml:space="preserve"> İhale sonucunun bütün isteklilere bildiriminden itibaren on gün geçmedikçe sözleşme imzalanmayacaktır. </w:t>
      </w:r>
    </w:p>
    <w:p w14:paraId="637F2BCA" w14:textId="77777777" w:rsidR="00000000" w:rsidRDefault="00000000">
      <w:pPr>
        <w:spacing w:before="120"/>
        <w:jc w:val="both"/>
      </w:pPr>
      <w:r>
        <w:rPr>
          <w:b/>
          <w:bCs/>
          <w:color w:val="auto"/>
        </w:rPr>
        <w:t>Madde 39 - Sözleşmeye davet</w:t>
      </w:r>
    </w:p>
    <w:p w14:paraId="20BFD381" w14:textId="77777777" w:rsidR="00000000" w:rsidRDefault="00000000">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14:paraId="7A21BDA6" w14:textId="77777777" w:rsidR="00000000" w:rsidRDefault="00000000">
      <w:pPr>
        <w:jc w:val="both"/>
      </w:pPr>
      <w:r>
        <w:rPr>
          <w:b/>
          <w:bCs/>
        </w:rPr>
        <w:t>39.2.</w:t>
      </w:r>
      <w:r>
        <w:t xml:space="preserve"> İsteklinin, bu davet yazısının bildirim tarihini izleyen on gün içinde yasal yükümlülüklerini yerine getirerek sözleşmeyi imzalaması zorunludur. </w:t>
      </w:r>
    </w:p>
    <w:p w14:paraId="7B757593" w14:textId="77777777" w:rsidR="00000000" w:rsidRDefault="00000000">
      <w:pPr>
        <w:spacing w:before="120"/>
        <w:jc w:val="both"/>
      </w:pPr>
      <w:r>
        <w:rPr>
          <w:b/>
          <w:bCs/>
          <w:color w:val="auto"/>
        </w:rPr>
        <w:t>Madde 40- Kesin teminat</w:t>
      </w:r>
    </w:p>
    <w:p w14:paraId="642C745F" w14:textId="77777777" w:rsidR="00000000" w:rsidRDefault="00000000">
      <w:pPr>
        <w:jc w:val="both"/>
      </w:pPr>
      <w:r>
        <w:rPr>
          <w:b/>
          <w:bCs/>
        </w:rPr>
        <w:t>40.1.</w:t>
      </w:r>
      <w:r>
        <w:t xml:space="preserve"> İhale üzerinde bırakılan istekliden sözleşme imzalanmadan önce, teklif fiyatının sınır değere eşit veya üzerinde olması halinde teklif fiyatının %6'sı, sınır değerin altında olması halinde ise yaklaşık maliyetin %9'u oranında kesin teminat alınır. Kısmi teklif verilmesine imkan tanınması halinde, tek bir sözleşmeye konu olacak kısımların herhangi birisi veya birkaçı için teklif edilen fiyatın, ilgili kısım için hesaplanan sınır değerin altında olması halinde alınacak kesin teminat tutarı, isteklinin sınır değerin altında teklif sunmuş olduğu kısma veya kısımlara ilişkin yaklaşık maliyetin %9'u, sözleşmeye konu diğer kısma veya kısımlara ilişkin teklif fiyatının ise %6'sı oranında hesaplanır ve bu tutarların toplamı kadar kesin teminat alınır. </w:t>
      </w:r>
    </w:p>
    <w:p w14:paraId="187956FA" w14:textId="77777777" w:rsidR="00000000" w:rsidRDefault="00000000">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 </w:t>
      </w:r>
    </w:p>
    <w:p w14:paraId="020A6EF8" w14:textId="77777777" w:rsidR="00000000" w:rsidRDefault="00000000">
      <w:pPr>
        <w:spacing w:before="120"/>
        <w:jc w:val="both"/>
      </w:pPr>
      <w:r>
        <w:rPr>
          <w:b/>
          <w:bCs/>
          <w:color w:val="auto"/>
        </w:rPr>
        <w:t>Madde 41- Sözleşme yapılmasında isteklinin görev ve sorumluluğu</w:t>
      </w:r>
    </w:p>
    <w:p w14:paraId="654FD1C5" w14:textId="77777777" w:rsidR="00000000" w:rsidRDefault="00000000">
      <w:pPr>
        <w:jc w:val="both"/>
      </w:pPr>
      <w:r>
        <w:rPr>
          <w:b/>
          <w:bCs/>
        </w:rPr>
        <w:lastRenderedPageBreak/>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422F5CD1" w14:textId="77777777" w:rsidR="00000000" w:rsidRDefault="00000000">
      <w:pPr>
        <w:jc w:val="both"/>
      </w:pPr>
      <w:r>
        <w:rPr>
          <w:b/>
          <w:bCs/>
        </w:rPr>
        <w:t>41.2.</w:t>
      </w:r>
      <w:r>
        <w:t xml:space="preserve"> İhale üzerinde bırakılan isteklinin ortak girişim olması halinde, ihale tarihi itibariyle mesleki faaliyetini mevzuatı gereği ilgili odaya kayıtlı olarak sürdürdüğüne ve ihale tarihinde 4734 sayılı Kanunun 10 uncu maddesinin dördüncü fıkrasının (a), (b), (c), (d), (e) ve (g) bentlerinde sayılan durumlarda olunmadığına ilişkin belgeleri her bir ortak ayrı ayrı sunmak zorundadır. </w:t>
      </w:r>
    </w:p>
    <w:p w14:paraId="2E089E23" w14:textId="77777777" w:rsidR="00000000" w:rsidRDefault="00000000">
      <w:pPr>
        <w:jc w:val="both"/>
      </w:pPr>
      <w:r>
        <w:rPr>
          <w:b/>
          <w:bCs/>
        </w:rPr>
        <w:t>41.3.</w:t>
      </w:r>
      <w:r>
        <w:t xml:space="preserve"> İhale üzerinde bırakılan yabancı istekliler, ihale tarihi itibariyle mesleki faaliyetini mevzuatı gereği ilgili odaya kayıtlı olarak sürdürdüğüne ve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1BA760E3" w14:textId="77777777" w:rsidR="00000000" w:rsidRDefault="00000000">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teminatı gelir kaydedilmekle birlikte, hakkında yasaklama kararı verilmez. </w:t>
      </w:r>
    </w:p>
    <w:p w14:paraId="7F3C9278" w14:textId="77777777" w:rsidR="00000000" w:rsidRDefault="00000000">
      <w:pPr>
        <w:spacing w:before="120"/>
        <w:jc w:val="both"/>
      </w:pPr>
      <w:r>
        <w:rPr>
          <w:b/>
          <w:bCs/>
          <w:color w:val="auto"/>
        </w:rPr>
        <w:t>Madde 42 - Ekonomik açıdan en avantajlı ikinci teklif sahibine bildirim</w:t>
      </w:r>
    </w:p>
    <w:p w14:paraId="51CBF3AA" w14:textId="77777777" w:rsidR="00000000" w:rsidRDefault="00000000">
      <w:pPr>
        <w:jc w:val="both"/>
      </w:pPr>
      <w:r>
        <w:rPr>
          <w:b/>
          <w:bCs/>
        </w:rPr>
        <w:t>42.1.</w:t>
      </w:r>
      <w: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14:paraId="184F9428" w14:textId="77777777" w:rsidR="00000000" w:rsidRDefault="00000000">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14:paraId="3FF37C60" w14:textId="77777777" w:rsidR="00000000" w:rsidRDefault="00000000">
      <w:pPr>
        <w:jc w:val="both"/>
      </w:pPr>
      <w:r>
        <w:rPr>
          <w:b/>
          <w:bCs/>
        </w:rPr>
        <w:t>42.3.</w:t>
      </w:r>
      <w: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7AF75167" w14:textId="77777777" w:rsidR="00000000" w:rsidRDefault="00000000">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 gelir kaydedilmekle birlikte, hakkında yasaklama kararı verilmez. </w:t>
      </w:r>
    </w:p>
    <w:p w14:paraId="7CFAD726" w14:textId="77777777" w:rsidR="00000000" w:rsidRDefault="00000000">
      <w:pPr>
        <w:jc w:val="both"/>
      </w:pPr>
      <w:r>
        <w:rPr>
          <w:b/>
          <w:bCs/>
        </w:rPr>
        <w:t>42.5.</w:t>
      </w:r>
      <w:r>
        <w:t xml:space="preserve"> Ekonomik açıdan en avantajlı ikinci teklif sahibi istekliyle de sözleşmenin imzalanamaması durumunda, ihale iptal edilir. </w:t>
      </w:r>
    </w:p>
    <w:p w14:paraId="3E1CBB06" w14:textId="77777777" w:rsidR="00000000" w:rsidRDefault="00000000">
      <w:pPr>
        <w:spacing w:before="120"/>
        <w:jc w:val="both"/>
      </w:pPr>
      <w:r>
        <w:rPr>
          <w:b/>
          <w:bCs/>
          <w:color w:val="auto"/>
        </w:rPr>
        <w:t>Madde 43 - Sözleşme yapılmasında İdarenin görev ve sorumluluğu</w:t>
      </w:r>
    </w:p>
    <w:p w14:paraId="6F3FB682" w14:textId="77777777" w:rsidR="00000000" w:rsidRDefault="00000000">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14:paraId="7A49978D" w14:textId="77777777" w:rsidR="00000000" w:rsidRDefault="00000000">
      <w:pPr>
        <w:jc w:val="both"/>
      </w:pPr>
      <w:r>
        <w:rPr>
          <w:b/>
          <w:bCs/>
        </w:rPr>
        <w:t>43.2.</w:t>
      </w:r>
      <w:r>
        <w:t xml:space="preserve"> Bu takdirde geçici teminat serbest bırakılır/iade edilir ve istekli teminat vermek için yaptığı belgelendirilmiş giderleri isteyebilir. </w:t>
      </w:r>
    </w:p>
    <w:p w14:paraId="74480603" w14:textId="77777777" w:rsidR="00000000" w:rsidRDefault="00000000">
      <w:pPr>
        <w:spacing w:before="120"/>
        <w:jc w:val="both"/>
      </w:pPr>
      <w:r>
        <w:rPr>
          <w:b/>
          <w:bCs/>
          <w:color w:val="auto"/>
        </w:rPr>
        <w:t>Madde 44 - İhalenin sözleşmeye bağlanması</w:t>
      </w:r>
    </w:p>
    <w:p w14:paraId="0A1BA2CB" w14:textId="77777777" w:rsidR="00000000" w:rsidRDefault="00000000">
      <w:pPr>
        <w:jc w:val="both"/>
      </w:pPr>
      <w:r>
        <w:rPr>
          <w:b/>
          <w:bCs/>
        </w:rPr>
        <w:lastRenderedPageBreak/>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14:paraId="61410968" w14:textId="77777777" w:rsidR="00000000" w:rsidRDefault="00000000">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14:paraId="1712B573" w14:textId="77777777" w:rsidR="00000000" w:rsidRDefault="00000000">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43C7A803" w14:textId="77777777" w:rsidR="00000000" w:rsidRDefault="00000000">
      <w:pPr>
        <w:jc w:val="both"/>
      </w:pPr>
      <w:r>
        <w:rPr>
          <w:b/>
          <w:bCs/>
        </w:rPr>
        <w:t>44.4.</w:t>
      </w:r>
      <w:r>
        <w:t xml:space="preserve"> Bu madde boş bırakılmıştır. </w:t>
      </w:r>
    </w:p>
    <w:p w14:paraId="5D854D82" w14:textId="77777777" w:rsidR="00000000" w:rsidRDefault="00000000">
      <w:pPr>
        <w:jc w:val="both"/>
      </w:pPr>
      <w:r>
        <w:rPr>
          <w:b/>
          <w:bCs/>
        </w:rPr>
        <w:t>44.5.</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5DFB6CEF" w14:textId="77777777" w:rsidR="00000000" w:rsidRDefault="00000000">
      <w:pPr>
        <w:jc w:val="both"/>
      </w:pPr>
      <w:r>
        <w:rPr>
          <w:b/>
          <w:bCs/>
        </w:rPr>
        <w:t>44.6.</w:t>
      </w:r>
      <w:r>
        <w:t xml:space="preserve"> Sözleşmenin imzalanmasına ilişkin her türlü vergi, resim ve harçlar ile diğer sözleşme giderleri yükleniciye aittir. </w:t>
      </w:r>
    </w:p>
    <w:p w14:paraId="118EFE92" w14:textId="77777777" w:rsidR="00000000" w:rsidRDefault="00000000">
      <w:pPr>
        <w:pStyle w:val="GvdeMetni"/>
        <w:spacing w:after="120" w:line="240" w:lineRule="auto"/>
        <w:jc w:val="center"/>
      </w:pPr>
      <w:r>
        <w:rPr>
          <w:rFonts w:ascii="Times New Roman" w:hAnsi="Times New Roman" w:cs="Times New Roman"/>
          <w:color w:val="auto"/>
          <w:sz w:val="24"/>
          <w:szCs w:val="24"/>
        </w:rPr>
        <w:t>V- SÖZLEŞMENİN UYGULANMASI VE DİĞER HUSUSLAR</w:t>
      </w:r>
    </w:p>
    <w:p w14:paraId="35C8D02D" w14:textId="77777777" w:rsidR="00000000" w:rsidRDefault="00000000">
      <w:pPr>
        <w:spacing w:before="120"/>
        <w:jc w:val="both"/>
      </w:pPr>
      <w:r>
        <w:rPr>
          <w:b/>
          <w:bCs/>
          <w:color w:val="auto"/>
        </w:rPr>
        <w:t>Madde 45- Sözleşmenin uygulanmasına ilişkin hususlar</w:t>
      </w:r>
    </w:p>
    <w:p w14:paraId="73E71D78" w14:textId="77777777" w:rsidR="00000000" w:rsidRDefault="00000000">
      <w:pPr>
        <w:jc w:val="both"/>
      </w:pPr>
      <w:r>
        <w:rPr>
          <w:b/>
          <w:bCs/>
        </w:rPr>
        <w:t>45.1.</w:t>
      </w:r>
      <w:r>
        <w:t xml:space="preserve"> Sözleşmenin uygulanmasına ilişkin aşağıdaki hususlar sözleşme tasarısında düzenlenmiştir. </w:t>
      </w:r>
    </w:p>
    <w:p w14:paraId="04627D9B" w14:textId="77777777" w:rsidR="00000000" w:rsidRDefault="00000000">
      <w:pPr>
        <w:jc w:val="both"/>
        <w:divId w:val="1374962250"/>
        <w:rPr>
          <w:rFonts w:eastAsia="Times New Roman"/>
        </w:rPr>
      </w:pPr>
      <w:r>
        <w:rPr>
          <w:rFonts w:eastAsia="Times New Roman"/>
        </w:rPr>
        <w:t xml:space="preserve">a) Ödeme yeri ve şartları </w:t>
      </w:r>
    </w:p>
    <w:p w14:paraId="51796445" w14:textId="77777777" w:rsidR="00000000" w:rsidRDefault="00000000">
      <w:pPr>
        <w:jc w:val="both"/>
        <w:divId w:val="1374962250"/>
      </w:pPr>
      <w:r>
        <w:t xml:space="preserve">b) Avans verilip verilmeyeceği, verilecekse şartları ve miktarı </w:t>
      </w:r>
    </w:p>
    <w:p w14:paraId="3908976A" w14:textId="77777777" w:rsidR="00000000" w:rsidRDefault="00000000">
      <w:pPr>
        <w:jc w:val="both"/>
        <w:divId w:val="1374962250"/>
      </w:pPr>
      <w:r>
        <w:t xml:space="preserve">c) İşe başlama ve iş bitirme tarihi </w:t>
      </w:r>
    </w:p>
    <w:p w14:paraId="19A58A03" w14:textId="77777777" w:rsidR="00000000" w:rsidRDefault="00000000">
      <w:pPr>
        <w:jc w:val="both"/>
        <w:divId w:val="1374962250"/>
      </w:pPr>
      <w:r>
        <w:t xml:space="preserve">ç) Süre uzatımı verilebilecek haller ve şartları </w:t>
      </w:r>
    </w:p>
    <w:p w14:paraId="7EAC5A05" w14:textId="77777777" w:rsidR="00000000" w:rsidRDefault="00000000">
      <w:pPr>
        <w:jc w:val="both"/>
        <w:divId w:val="1374962250"/>
      </w:pPr>
      <w:r>
        <w:t xml:space="preserve">d) Sözleşme kapsamında yaptırılabilecek ilave işler, iş eksilişi ve işin tasfiyesi </w:t>
      </w:r>
    </w:p>
    <w:p w14:paraId="35067637" w14:textId="77777777" w:rsidR="00000000" w:rsidRDefault="00000000">
      <w:pPr>
        <w:jc w:val="both"/>
        <w:divId w:val="1374962250"/>
      </w:pPr>
      <w:r>
        <w:t xml:space="preserve">e) Cezalar ve sözleşmenin feshi </w:t>
      </w:r>
    </w:p>
    <w:p w14:paraId="53F1F452" w14:textId="77777777" w:rsidR="00000000" w:rsidRDefault="00000000">
      <w:pPr>
        <w:jc w:val="both"/>
        <w:divId w:val="1374962250"/>
      </w:pPr>
      <w:r>
        <w:t xml:space="preserve">f) Denetim, muayene ve kabul işlemlerine ilişkin şartlar </w:t>
      </w:r>
    </w:p>
    <w:p w14:paraId="0436CD8D" w14:textId="77777777" w:rsidR="00000000" w:rsidRDefault="00000000">
      <w:pPr>
        <w:jc w:val="both"/>
        <w:divId w:val="1374962250"/>
      </w:pPr>
      <w:r>
        <w:t>g) Anlaşmazlıkların çözüm şekli</w:t>
      </w:r>
    </w:p>
    <w:p w14:paraId="457852F2" w14:textId="77777777" w:rsidR="00000000" w:rsidRDefault="00000000">
      <w:pPr>
        <w:spacing w:before="120"/>
        <w:jc w:val="both"/>
      </w:pPr>
      <w:r>
        <w:rPr>
          <w:b/>
          <w:bCs/>
          <w:color w:val="auto"/>
        </w:rPr>
        <w:t>Madde 46 - Fiyat farkı</w:t>
      </w:r>
    </w:p>
    <w:p w14:paraId="3412D4A6" w14:textId="77777777" w:rsidR="00000000" w:rsidRDefault="00000000">
      <w:pPr>
        <w:jc w:val="both"/>
      </w:pPr>
      <w:r>
        <w:rPr>
          <w:b/>
          <w:bCs/>
        </w:rPr>
        <w:t>46.1.</w:t>
      </w:r>
      <w:r>
        <w:t xml:space="preserve"> İhale konusu iş için sözleşmenin uygulanması sırasında aşağıdaki esaslara göre fiyat farkı hesaplanacaktır. </w:t>
      </w:r>
    </w:p>
    <w:p w14:paraId="5174A9C3" w14:textId="77777777" w:rsidR="00000000" w:rsidRDefault="00000000">
      <w:pPr>
        <w:jc w:val="both"/>
      </w:pPr>
      <w:r>
        <w:rPr>
          <w:b/>
          <w:bCs/>
        </w:rPr>
        <w:t>46.1.1.</w:t>
      </w:r>
      <w:r>
        <w:t xml:space="preserve"> </w:t>
      </w:r>
    </w:p>
    <w:p w14:paraId="03A1864B" w14:textId="77777777" w:rsidR="00000000" w:rsidRDefault="00000000">
      <w:pPr>
        <w:overflowPunct/>
        <w:autoSpaceDE/>
        <w:autoSpaceDN/>
        <w:spacing w:after="240"/>
        <w:rPr>
          <w:rFonts w:eastAsia="Times New Roman"/>
          <w:b/>
          <w:bCs/>
          <w:color w:val="003399"/>
          <w:u w:val="dotted"/>
        </w:rPr>
      </w:pPr>
      <w:r>
        <w:rPr>
          <w:rFonts w:eastAsia="Times New Roman"/>
          <w:b/>
          <w:bCs/>
          <w:color w:val="003399"/>
          <w:u w:val="dotted"/>
        </w:rPr>
        <w:t>Tüm Kısımlar için:</w:t>
      </w:r>
      <w:r>
        <w:rPr>
          <w:rFonts w:eastAsia="Times New Roman"/>
          <w:b/>
          <w:bCs/>
          <w:color w:val="003399"/>
          <w:u w:val="dotted"/>
        </w:rPr>
        <w:br/>
        <w:t xml:space="preserve">Fiyat farkı aşağıdaki formüle göre hesaplanır: </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 xml:space="preserve">F = An x B x ( Pn-1) </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 xml:space="preserve">Pn=a1+a2 İn/İo+b1 AYn/AYo+b2 Yn/Yo+b3 Gn/Go+c Mn/Mo </w:t>
      </w:r>
      <w:r>
        <w:rPr>
          <w:rFonts w:eastAsia="Times New Roman"/>
          <w:b/>
          <w:bCs/>
          <w:color w:val="003399"/>
          <w:u w:val="dotted"/>
        </w:rPr>
        <w:br/>
      </w:r>
      <w:r>
        <w:rPr>
          <w:rFonts w:eastAsia="Times New Roman"/>
          <w:b/>
          <w:bCs/>
          <w:color w:val="003399"/>
          <w:u w:val="dotted"/>
        </w:rPr>
        <w:br/>
        <w:t xml:space="preserve">Formülde yer alan; </w:t>
      </w:r>
      <w:r>
        <w:rPr>
          <w:rFonts w:eastAsia="Times New Roman"/>
          <w:b/>
          <w:bCs/>
          <w:color w:val="003399"/>
          <w:u w:val="dotted"/>
        </w:rPr>
        <w:br/>
      </w:r>
      <w:r>
        <w:rPr>
          <w:rFonts w:eastAsia="Times New Roman"/>
          <w:b/>
          <w:bCs/>
          <w:color w:val="003399"/>
          <w:u w:val="dotted"/>
        </w:rPr>
        <w:br/>
        <w:t xml:space="preserve">F: Fiyat farkını (TL), </w:t>
      </w:r>
      <w:r>
        <w:rPr>
          <w:rFonts w:eastAsia="Times New Roman"/>
          <w:b/>
          <w:bCs/>
          <w:color w:val="003399"/>
          <w:u w:val="dotted"/>
        </w:rPr>
        <w:br/>
      </w:r>
      <w:r>
        <w:rPr>
          <w:rFonts w:eastAsia="Times New Roman"/>
          <w:b/>
          <w:bCs/>
          <w:color w:val="003399"/>
          <w:u w:val="dotted"/>
        </w:rPr>
        <w:br/>
        <w:t xml:space="preserve">B: 0,90 sabit katsayısını, </w:t>
      </w:r>
      <w:r>
        <w:rPr>
          <w:rFonts w:eastAsia="Times New Roman"/>
          <w:b/>
          <w:bCs/>
          <w:color w:val="003399"/>
          <w:u w:val="dotted"/>
        </w:rPr>
        <w:br/>
      </w:r>
      <w:r>
        <w:rPr>
          <w:rFonts w:eastAsia="Times New Roman"/>
          <w:b/>
          <w:bCs/>
          <w:color w:val="003399"/>
          <w:u w:val="dotted"/>
        </w:rPr>
        <w:br/>
        <w:t xml:space="preserve">An: İlk geçici hakedişte (n=1) olmak üzere (n) inci hak edişte; birim fiyatlı işlerde uygulama ayında gerçekleşen iş kalemlerinin sözleşme fiyatlarıyla çarpılması sonucu bulunan tutarı (TL), </w:t>
      </w:r>
      <w:r>
        <w:rPr>
          <w:rFonts w:eastAsia="Times New Roman"/>
          <w:b/>
          <w:bCs/>
          <w:color w:val="003399"/>
          <w:u w:val="dotted"/>
        </w:rPr>
        <w:lastRenderedPageBreak/>
        <w:t>götürü bedel işlerde ise uygulama ayında gerçekleşen ilerleme yüzdesiyle sözleşme bedelinin çarpılması sonucu bulunan tutarı (TL),</w:t>
      </w:r>
      <w:r>
        <w:rPr>
          <w:rFonts w:eastAsia="Times New Roman"/>
          <w:b/>
          <w:bCs/>
          <w:color w:val="003399"/>
          <w:u w:val="dotted"/>
        </w:rPr>
        <w:br/>
      </w:r>
      <w:r>
        <w:rPr>
          <w:rFonts w:eastAsia="Times New Roman"/>
          <w:b/>
          <w:bCs/>
          <w:color w:val="003399"/>
          <w:u w:val="dotted"/>
        </w:rPr>
        <w:br/>
        <w:t>Pn: İlk geçici hakedişte (n=1) olmak üzere (n) inci hakedişte, fiyat farkı hesabında kullanılan temel endeksler ve güncel endeksler ile a1, a2, b1, b2, b3 ve c değerlerinin ağırlık oranlarını temsil eden katsayıların yukarıdaki formüle uygulanması sonucu bulunan fiyat farkı katsayısını,</w:t>
      </w:r>
      <w:r>
        <w:rPr>
          <w:rFonts w:eastAsia="Times New Roman"/>
          <w:b/>
          <w:bCs/>
          <w:color w:val="003399"/>
          <w:u w:val="dotted"/>
        </w:rPr>
        <w:br/>
      </w:r>
      <w:r>
        <w:rPr>
          <w:rFonts w:eastAsia="Times New Roman"/>
          <w:b/>
          <w:bCs/>
          <w:color w:val="003399"/>
          <w:u w:val="dotted"/>
        </w:rPr>
        <w:br/>
        <w:t xml:space="preserve">ifade eder. </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Endeks tablosu: Türkiye İstatistik Kurumu tarafından aylık yayımlanan yurt içi üretici fiyat endeksi, 2003=100, CPA 2008 kısım, bölüm ve gruplarına göre tarihsel seri tablosudur.</w:t>
      </w:r>
      <w:r>
        <w:rPr>
          <w:rFonts w:eastAsia="Times New Roman"/>
          <w:b/>
          <w:bCs/>
          <w:color w:val="003399"/>
          <w:u w:val="dotted"/>
        </w:rPr>
        <w:br/>
      </w:r>
      <w:r>
        <w:rPr>
          <w:rFonts w:eastAsia="Times New Roman"/>
          <w:b/>
          <w:bCs/>
          <w:color w:val="003399"/>
          <w:u w:val="dotted"/>
        </w:rPr>
        <w:br/>
        <w:t>Formüldeki sabit katsayılar ile temel endeksler(o) ve güncel endeksler(n):</w:t>
      </w:r>
      <w:r>
        <w:rPr>
          <w:rFonts w:eastAsia="Times New Roman"/>
          <w:b/>
          <w:bCs/>
          <w:color w:val="003399"/>
          <w:u w:val="dotted"/>
        </w:rPr>
        <w:br/>
      </w:r>
    </w:p>
    <w:tbl>
      <w:tblPr>
        <w:tblW w:w="5000" w:type="pct"/>
        <w:tblCellMar>
          <w:top w:w="15" w:type="dxa"/>
          <w:left w:w="15" w:type="dxa"/>
          <w:bottom w:w="15" w:type="dxa"/>
          <w:right w:w="15" w:type="dxa"/>
        </w:tblCellMar>
        <w:tblLook w:val="04A0" w:firstRow="1" w:lastRow="0" w:firstColumn="1" w:lastColumn="0" w:noHBand="0" w:noVBand="1"/>
      </w:tblPr>
      <w:tblGrid>
        <w:gridCol w:w="2929"/>
        <w:gridCol w:w="1953"/>
        <w:gridCol w:w="1465"/>
        <w:gridCol w:w="3418"/>
      </w:tblGrid>
      <w:tr w:rsidR="00000000" w14:paraId="79E47FD8" w14:textId="77777777">
        <w:tc>
          <w:tcPr>
            <w:tcW w:w="2500"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6A9A6AA" w14:textId="77777777" w:rsidR="00000000" w:rsidRDefault="00000000">
            <w:pPr>
              <w:overflowPunct/>
              <w:autoSpaceDE/>
              <w:autoSpaceDN/>
              <w:spacing w:before="150" w:after="150"/>
              <w:rPr>
                <w:rFonts w:eastAsia="Times New Roman"/>
                <w:color w:val="auto"/>
              </w:rPr>
            </w:pPr>
          </w:p>
          <w:p w14:paraId="156BA32C" w14:textId="77777777" w:rsidR="00000000" w:rsidRDefault="00000000">
            <w:pPr>
              <w:overflowPunct/>
              <w:autoSpaceDE/>
              <w:autoSpaceDN/>
              <w:spacing w:before="150" w:after="150"/>
              <w:rPr>
                <w:rFonts w:eastAsia="Times New Roman"/>
                <w:color w:val="auto"/>
              </w:rPr>
            </w:pPr>
          </w:p>
          <w:p w14:paraId="5D5F9989" w14:textId="77777777" w:rsidR="00000000" w:rsidRDefault="00000000">
            <w:pPr>
              <w:wordWrap w:val="0"/>
              <w:overflowPunct/>
              <w:autoSpaceDE/>
              <w:autoSpaceDN/>
              <w:spacing w:before="150" w:after="150"/>
              <w:rPr>
                <w:rFonts w:eastAsia="Times New Roman"/>
                <w:b/>
                <w:bCs/>
                <w:color w:val="auto"/>
                <w:sz w:val="23"/>
                <w:szCs w:val="23"/>
              </w:rPr>
            </w:pPr>
            <w:r>
              <w:rPr>
                <w:rFonts w:eastAsia="Times New Roman"/>
                <w:b/>
                <w:bCs/>
                <w:color w:val="auto"/>
                <w:sz w:val="23"/>
                <w:szCs w:val="23"/>
              </w:rPr>
              <w:t>Katsayı</w:t>
            </w:r>
          </w:p>
        </w:tc>
        <w:tc>
          <w:tcPr>
            <w:tcW w:w="2500"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79212B5" w14:textId="77777777" w:rsidR="00000000" w:rsidRDefault="00000000">
            <w:pPr>
              <w:wordWrap w:val="0"/>
              <w:overflowPunct/>
              <w:autoSpaceDE/>
              <w:autoSpaceDN/>
              <w:spacing w:before="150" w:after="150"/>
              <w:rPr>
                <w:rFonts w:eastAsia="Times New Roman"/>
                <w:b/>
                <w:bCs/>
                <w:color w:val="auto"/>
                <w:sz w:val="23"/>
                <w:szCs w:val="23"/>
              </w:rPr>
            </w:pPr>
            <w:r>
              <w:rPr>
                <w:rFonts w:eastAsia="Times New Roman"/>
                <w:b/>
                <w:bCs/>
                <w:color w:val="auto"/>
                <w:sz w:val="23"/>
                <w:szCs w:val="23"/>
              </w:rPr>
              <w:t>Endeks</w:t>
            </w:r>
          </w:p>
        </w:tc>
      </w:tr>
      <w:tr w:rsidR="00000000" w14:paraId="69CB7A13"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4E09765B" w14:textId="77777777" w:rsidR="00000000" w:rsidRDefault="00000000">
            <w:pPr>
              <w:overflowPunct/>
              <w:autoSpaceDE/>
              <w:autoSpaceDN/>
              <w:spacing w:before="150" w:after="150"/>
              <w:rPr>
                <w:rFonts w:eastAsia="Times New Roman"/>
                <w:color w:val="auto"/>
              </w:rPr>
            </w:pPr>
          </w:p>
          <w:p w14:paraId="5C0E68AF" w14:textId="77777777" w:rsidR="00000000" w:rsidRDefault="00000000">
            <w:pPr>
              <w:wordWrap w:val="0"/>
              <w:overflowPunct/>
              <w:autoSpaceDE/>
              <w:autoSpaceDN/>
              <w:spacing w:before="150" w:after="150"/>
              <w:rPr>
                <w:rFonts w:eastAsia="Times New Roman"/>
                <w:color w:val="auto"/>
              </w:rPr>
            </w:pPr>
            <w:r>
              <w:rPr>
                <w:rFonts w:eastAsia="Times New Roman"/>
                <w:color w:val="auto"/>
              </w:rPr>
              <w:t>a1 (Haftalık çalışma saatinin tamamı idarede kullanılan işçiliklerin ağırlık oranı)</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2FD2E36F" w14:textId="77777777" w:rsidR="00000000" w:rsidRDefault="00000000">
            <w:pPr>
              <w:overflowPunct/>
              <w:autoSpaceDE/>
              <w:autoSpaceDN/>
              <w:spacing w:before="150" w:after="150"/>
              <w:rPr>
                <w:rFonts w:eastAsia="Times New Roman"/>
                <w:color w:val="auto"/>
              </w:rPr>
            </w:pPr>
          </w:p>
          <w:p w14:paraId="486BD557"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0</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BE45766" w14:textId="77777777" w:rsidR="00000000" w:rsidRDefault="00000000">
            <w:pPr>
              <w:overflowPunct/>
              <w:autoSpaceDE/>
              <w:autoSpaceDN/>
              <w:spacing w:before="150" w:after="150"/>
              <w:rPr>
                <w:rFonts w:eastAsia="Times New Roman"/>
                <w:color w:val="auto"/>
              </w:rPr>
            </w:pPr>
          </w:p>
          <w:p w14:paraId="31F9DA5E" w14:textId="77777777" w:rsidR="00000000" w:rsidRDefault="00000000">
            <w:pPr>
              <w:overflowPunct/>
              <w:autoSpaceDE/>
              <w:autoSpaceDN/>
              <w:spacing w:before="150" w:after="150"/>
              <w:rPr>
                <w:rFonts w:eastAsia="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593B1ACB" w14:textId="77777777" w:rsidR="00000000" w:rsidRDefault="00000000">
            <w:pPr>
              <w:overflowPunct/>
              <w:autoSpaceDE/>
              <w:autoSpaceDN/>
              <w:spacing w:before="150" w:after="150"/>
              <w:rPr>
                <w:rFonts w:eastAsia="Times New Roman"/>
                <w:color w:val="auto"/>
              </w:rPr>
            </w:pPr>
          </w:p>
          <w:p w14:paraId="4B7FC4FF" w14:textId="77777777" w:rsidR="00000000" w:rsidRDefault="00000000">
            <w:pPr>
              <w:overflowPunct/>
              <w:autoSpaceDE/>
              <w:autoSpaceDN/>
              <w:spacing w:before="150" w:after="150"/>
              <w:rPr>
                <w:rFonts w:eastAsia="Times New Roman"/>
                <w:color w:val="auto"/>
              </w:rPr>
            </w:pPr>
          </w:p>
          <w:p w14:paraId="7FB55003" w14:textId="77777777" w:rsidR="00000000" w:rsidRDefault="00000000">
            <w:pPr>
              <w:overflowPunct/>
              <w:autoSpaceDE/>
              <w:autoSpaceDN/>
              <w:spacing w:before="150" w:after="150"/>
              <w:rPr>
                <w:rFonts w:eastAsia="Times New Roman"/>
                <w:color w:val="auto"/>
              </w:rPr>
            </w:pPr>
            <w:r>
              <w:rPr>
                <w:rFonts w:eastAsia="Times New Roman"/>
                <w:color w:val="auto"/>
              </w:rPr>
              <w:br/>
            </w:r>
          </w:p>
        </w:tc>
      </w:tr>
      <w:tr w:rsidR="00000000" w14:paraId="2A9891D8"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E1715D3" w14:textId="77777777" w:rsidR="00000000" w:rsidRDefault="00000000">
            <w:pPr>
              <w:overflowPunct/>
              <w:autoSpaceDE/>
              <w:autoSpaceDN/>
              <w:spacing w:before="150" w:after="150"/>
              <w:rPr>
                <w:rFonts w:eastAsia="Times New Roman"/>
                <w:color w:val="auto"/>
              </w:rPr>
            </w:pPr>
          </w:p>
          <w:p w14:paraId="16AD2136" w14:textId="77777777" w:rsidR="00000000" w:rsidRDefault="00000000">
            <w:pPr>
              <w:wordWrap w:val="0"/>
              <w:overflowPunct/>
              <w:autoSpaceDE/>
              <w:autoSpaceDN/>
              <w:spacing w:before="150" w:after="150"/>
              <w:rPr>
                <w:rFonts w:eastAsia="Times New Roman"/>
                <w:color w:val="auto"/>
              </w:rPr>
            </w:pPr>
            <w:r>
              <w:rPr>
                <w:rFonts w:eastAsia="Times New Roman"/>
                <w:color w:val="auto"/>
              </w:rPr>
              <w:t>a2 (Haftalık çalışma saatinin tamamı idarede kullanılmayan işçiliklerin ağırlık oranı)</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0ADFDB21" w14:textId="77777777" w:rsidR="00000000" w:rsidRDefault="00000000">
            <w:pPr>
              <w:overflowPunct/>
              <w:autoSpaceDE/>
              <w:autoSpaceDN/>
              <w:spacing w:before="150" w:after="150"/>
              <w:rPr>
                <w:rFonts w:eastAsia="Times New Roman"/>
                <w:color w:val="auto"/>
              </w:rPr>
            </w:pPr>
          </w:p>
          <w:p w14:paraId="48E6318B"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0,15</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42076FF2" w14:textId="77777777" w:rsidR="00000000" w:rsidRDefault="00000000">
            <w:pPr>
              <w:overflowPunct/>
              <w:autoSpaceDE/>
              <w:autoSpaceDN/>
              <w:spacing w:before="150" w:after="150"/>
              <w:rPr>
                <w:rFonts w:eastAsia="Times New Roman"/>
                <w:color w:val="auto"/>
              </w:rPr>
            </w:pPr>
          </w:p>
          <w:p w14:paraId="325E7793"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İo, İn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D1E0204" w14:textId="77777777" w:rsidR="00000000" w:rsidRDefault="00000000">
            <w:pPr>
              <w:overflowPunct/>
              <w:autoSpaceDE/>
              <w:autoSpaceDN/>
              <w:spacing w:before="150" w:after="150"/>
              <w:rPr>
                <w:rFonts w:eastAsia="Times New Roman"/>
                <w:color w:val="auto"/>
              </w:rPr>
            </w:pPr>
          </w:p>
          <w:p w14:paraId="33403576" w14:textId="77777777" w:rsidR="00000000" w:rsidRDefault="00000000">
            <w:pPr>
              <w:wordWrap w:val="0"/>
              <w:overflowPunct/>
              <w:autoSpaceDE/>
              <w:autoSpaceDN/>
              <w:spacing w:before="150" w:after="150"/>
              <w:rPr>
                <w:rFonts w:eastAsia="Times New Roman"/>
                <w:color w:val="auto"/>
              </w:rPr>
            </w:pPr>
            <w:r>
              <w:rPr>
                <w:rFonts w:eastAsia="Times New Roman"/>
                <w:color w:val="auto"/>
              </w:rPr>
              <w:t xml:space="preserve">Temel asgari ücret ile güncel asgari ücrettir. </w:t>
            </w:r>
          </w:p>
          <w:p w14:paraId="414FB9D2" w14:textId="77777777" w:rsidR="00000000" w:rsidRDefault="00000000">
            <w:pPr>
              <w:overflowPunct/>
              <w:autoSpaceDE/>
              <w:autoSpaceDN/>
              <w:spacing w:before="150" w:after="150"/>
              <w:rPr>
                <w:rFonts w:eastAsia="Times New Roman"/>
                <w:color w:val="auto"/>
              </w:rPr>
            </w:pPr>
            <w:r>
              <w:rPr>
                <w:rFonts w:eastAsia="Times New Roman"/>
                <w:color w:val="auto"/>
              </w:rPr>
              <w:br/>
            </w:r>
          </w:p>
        </w:tc>
      </w:tr>
      <w:tr w:rsidR="00000000" w14:paraId="42653C7F"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A1FDC2B" w14:textId="77777777" w:rsidR="00000000" w:rsidRDefault="00000000">
            <w:pPr>
              <w:overflowPunct/>
              <w:autoSpaceDE/>
              <w:autoSpaceDN/>
              <w:spacing w:before="150" w:after="150"/>
              <w:rPr>
                <w:rFonts w:eastAsia="Times New Roman"/>
                <w:color w:val="auto"/>
              </w:rPr>
            </w:pPr>
          </w:p>
          <w:p w14:paraId="734E2925" w14:textId="77777777" w:rsidR="00000000" w:rsidRDefault="00000000">
            <w:pPr>
              <w:wordWrap w:val="0"/>
              <w:overflowPunct/>
              <w:autoSpaceDE/>
              <w:autoSpaceDN/>
              <w:spacing w:before="150" w:after="150"/>
              <w:rPr>
                <w:rFonts w:eastAsia="Times New Roman"/>
                <w:color w:val="auto"/>
              </w:rPr>
            </w:pPr>
            <w:r>
              <w:rPr>
                <w:rFonts w:eastAsia="Times New Roman"/>
                <w:color w:val="auto"/>
              </w:rPr>
              <w:t>b1 (Akaryakıtın ağırlık oranı)</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188D743E" w14:textId="77777777" w:rsidR="00000000" w:rsidRDefault="00000000">
            <w:pPr>
              <w:overflowPunct/>
              <w:autoSpaceDE/>
              <w:autoSpaceDN/>
              <w:spacing w:before="150" w:after="150"/>
              <w:rPr>
                <w:rFonts w:eastAsia="Times New Roman"/>
                <w:color w:val="auto"/>
              </w:rPr>
            </w:pPr>
          </w:p>
          <w:p w14:paraId="05B1357C"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0,5</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7A5D8A0B" w14:textId="77777777" w:rsidR="00000000" w:rsidRDefault="00000000">
            <w:pPr>
              <w:overflowPunct/>
              <w:autoSpaceDE/>
              <w:autoSpaceDN/>
              <w:spacing w:before="150" w:after="150"/>
              <w:rPr>
                <w:rFonts w:eastAsia="Times New Roman"/>
                <w:color w:val="auto"/>
              </w:rPr>
            </w:pPr>
          </w:p>
          <w:p w14:paraId="7185CA72"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AYo, AYn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4B45A65" w14:textId="77777777" w:rsidR="00000000" w:rsidRDefault="00000000">
            <w:pPr>
              <w:overflowPunct/>
              <w:autoSpaceDE/>
              <w:autoSpaceDN/>
              <w:spacing w:before="150" w:after="150"/>
              <w:rPr>
                <w:rFonts w:eastAsia="Times New Roman"/>
                <w:color w:val="auto"/>
              </w:rPr>
            </w:pPr>
          </w:p>
          <w:p w14:paraId="05FCAC96" w14:textId="77777777" w:rsidR="00000000" w:rsidRDefault="00000000">
            <w:pPr>
              <w:wordWrap w:val="0"/>
              <w:overflowPunct/>
              <w:autoSpaceDE/>
              <w:autoSpaceDN/>
              <w:spacing w:before="150" w:after="150"/>
              <w:rPr>
                <w:rFonts w:eastAsia="Times New Roman"/>
                <w:color w:val="auto"/>
              </w:rPr>
            </w:pPr>
            <w:r>
              <w:rPr>
                <w:rFonts w:eastAsia="Times New Roman"/>
                <w:color w:val="auto"/>
              </w:rPr>
              <w:t xml:space="preserve">Motorin </w:t>
            </w:r>
          </w:p>
          <w:p w14:paraId="4975AC71" w14:textId="77777777" w:rsidR="00000000" w:rsidRDefault="00000000">
            <w:pPr>
              <w:overflowPunct/>
              <w:autoSpaceDE/>
              <w:autoSpaceDN/>
              <w:spacing w:before="150" w:after="150"/>
              <w:rPr>
                <w:rFonts w:eastAsia="Times New Roman"/>
                <w:color w:val="auto"/>
              </w:rPr>
            </w:pPr>
            <w:r>
              <w:rPr>
                <w:rFonts w:eastAsia="Times New Roman"/>
                <w:color w:val="auto"/>
              </w:rPr>
              <w:br/>
            </w:r>
          </w:p>
        </w:tc>
      </w:tr>
      <w:tr w:rsidR="00000000" w14:paraId="757A07A9"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40CEBEFC" w14:textId="77777777" w:rsidR="00000000" w:rsidRDefault="00000000">
            <w:pPr>
              <w:overflowPunct/>
              <w:autoSpaceDE/>
              <w:autoSpaceDN/>
              <w:spacing w:before="150" w:after="150"/>
              <w:rPr>
                <w:rFonts w:eastAsia="Times New Roman"/>
                <w:color w:val="auto"/>
              </w:rPr>
            </w:pPr>
          </w:p>
          <w:p w14:paraId="5681A422" w14:textId="77777777" w:rsidR="00000000" w:rsidRDefault="00000000">
            <w:pPr>
              <w:wordWrap w:val="0"/>
              <w:overflowPunct/>
              <w:autoSpaceDE/>
              <w:autoSpaceDN/>
              <w:spacing w:before="150" w:after="150"/>
              <w:rPr>
                <w:rFonts w:eastAsia="Times New Roman"/>
                <w:color w:val="auto"/>
              </w:rPr>
            </w:pPr>
            <w:r>
              <w:rPr>
                <w:rFonts w:eastAsia="Times New Roman"/>
                <w:color w:val="auto"/>
              </w:rPr>
              <w:t>b2 (Diğer katı veya sıvı yakıtların ağırlık oranı)</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46829D58" w14:textId="77777777" w:rsidR="00000000" w:rsidRDefault="00000000">
            <w:pPr>
              <w:overflowPunct/>
              <w:autoSpaceDE/>
              <w:autoSpaceDN/>
              <w:spacing w:before="150" w:after="150"/>
              <w:rPr>
                <w:rFonts w:eastAsia="Times New Roman"/>
                <w:color w:val="auto"/>
              </w:rPr>
            </w:pPr>
          </w:p>
          <w:p w14:paraId="1BDB0F83"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0</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DEEE690" w14:textId="77777777" w:rsidR="00000000" w:rsidRDefault="00000000">
            <w:pPr>
              <w:overflowPunct/>
              <w:autoSpaceDE/>
              <w:autoSpaceDN/>
              <w:spacing w:before="150" w:after="150"/>
              <w:rPr>
                <w:rFonts w:eastAsia="Times New Roman"/>
                <w:color w:val="auto"/>
              </w:rPr>
            </w:pPr>
          </w:p>
          <w:p w14:paraId="110FF137" w14:textId="77777777" w:rsidR="00000000" w:rsidRDefault="00000000">
            <w:pPr>
              <w:overflowPunct/>
              <w:autoSpaceDE/>
              <w:autoSpaceDN/>
              <w:spacing w:before="150" w:after="150"/>
              <w:rPr>
                <w:rFonts w:eastAsia="Times New Roman"/>
                <w:color w:val="auto"/>
              </w:rPr>
            </w:pP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2BA588B9" w14:textId="77777777" w:rsidR="00000000" w:rsidRDefault="00000000">
            <w:pPr>
              <w:overflowPunct/>
              <w:autoSpaceDE/>
              <w:autoSpaceDN/>
              <w:spacing w:before="150" w:after="150"/>
              <w:rPr>
                <w:rFonts w:eastAsia="Times New Roman"/>
                <w:color w:val="auto"/>
              </w:rPr>
            </w:pPr>
          </w:p>
          <w:p w14:paraId="087AEE76" w14:textId="77777777" w:rsidR="00000000" w:rsidRDefault="00000000">
            <w:pPr>
              <w:overflowPunct/>
              <w:autoSpaceDE/>
              <w:autoSpaceDN/>
              <w:spacing w:before="150" w:after="150"/>
              <w:rPr>
                <w:rFonts w:eastAsia="Times New Roman"/>
                <w:color w:val="auto"/>
              </w:rPr>
            </w:pPr>
          </w:p>
          <w:p w14:paraId="6F1AE2C1" w14:textId="77777777" w:rsidR="00000000" w:rsidRDefault="00000000">
            <w:pPr>
              <w:overflowPunct/>
              <w:autoSpaceDE/>
              <w:autoSpaceDN/>
              <w:spacing w:before="150" w:after="150"/>
              <w:rPr>
                <w:rFonts w:eastAsia="Times New Roman"/>
                <w:color w:val="auto"/>
              </w:rPr>
            </w:pPr>
            <w:r>
              <w:rPr>
                <w:rFonts w:eastAsia="Times New Roman"/>
                <w:color w:val="auto"/>
              </w:rPr>
              <w:br/>
            </w:r>
          </w:p>
        </w:tc>
      </w:tr>
      <w:tr w:rsidR="00000000" w14:paraId="049BB972"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584E0D8" w14:textId="77777777" w:rsidR="00000000" w:rsidRDefault="00000000">
            <w:pPr>
              <w:overflowPunct/>
              <w:autoSpaceDE/>
              <w:autoSpaceDN/>
              <w:spacing w:before="150" w:after="150"/>
              <w:rPr>
                <w:rFonts w:eastAsia="Times New Roman"/>
                <w:color w:val="auto"/>
              </w:rPr>
            </w:pPr>
          </w:p>
          <w:p w14:paraId="35B2A173" w14:textId="77777777" w:rsidR="00000000" w:rsidRDefault="00000000">
            <w:pPr>
              <w:wordWrap w:val="0"/>
              <w:overflowPunct/>
              <w:autoSpaceDE/>
              <w:autoSpaceDN/>
              <w:spacing w:before="150" w:after="150"/>
              <w:rPr>
                <w:rFonts w:eastAsia="Times New Roman"/>
                <w:color w:val="auto"/>
              </w:rPr>
            </w:pPr>
            <w:r>
              <w:rPr>
                <w:rFonts w:eastAsia="Times New Roman"/>
                <w:color w:val="auto"/>
              </w:rPr>
              <w:t>b3 (Malzeme veya diğer hizmetlerin ağırlık oranı)</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20E89098" w14:textId="77777777" w:rsidR="00000000" w:rsidRDefault="00000000">
            <w:pPr>
              <w:overflowPunct/>
              <w:autoSpaceDE/>
              <w:autoSpaceDN/>
              <w:spacing w:before="150" w:after="150"/>
              <w:rPr>
                <w:rFonts w:eastAsia="Times New Roman"/>
                <w:color w:val="auto"/>
              </w:rPr>
            </w:pPr>
          </w:p>
          <w:p w14:paraId="14FFEC91"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0,15</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92325E2" w14:textId="77777777" w:rsidR="00000000" w:rsidRDefault="00000000">
            <w:pPr>
              <w:overflowPunct/>
              <w:autoSpaceDE/>
              <w:autoSpaceDN/>
              <w:spacing w:before="150" w:after="150"/>
              <w:rPr>
                <w:rFonts w:eastAsia="Times New Roman"/>
                <w:color w:val="auto"/>
              </w:rPr>
            </w:pPr>
          </w:p>
          <w:p w14:paraId="14711337"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Go, Gn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50FADCBA" w14:textId="77777777" w:rsidR="00000000" w:rsidRDefault="00000000">
            <w:pPr>
              <w:overflowPunct/>
              <w:autoSpaceDE/>
              <w:autoSpaceDN/>
              <w:spacing w:before="150" w:after="150"/>
              <w:rPr>
                <w:rFonts w:eastAsia="Times New Roman"/>
                <w:color w:val="auto"/>
              </w:rPr>
            </w:pPr>
          </w:p>
          <w:p w14:paraId="42F2AACE" w14:textId="77777777" w:rsidR="00000000" w:rsidRDefault="00000000">
            <w:pPr>
              <w:wordWrap w:val="0"/>
              <w:overflowPunct/>
              <w:autoSpaceDE/>
              <w:autoSpaceDN/>
              <w:spacing w:before="150" w:after="150"/>
              <w:rPr>
                <w:rFonts w:eastAsia="Times New Roman"/>
                <w:color w:val="auto"/>
              </w:rPr>
            </w:pPr>
            <w:r>
              <w:rPr>
                <w:rFonts w:eastAsia="Times New Roman"/>
                <w:color w:val="auto"/>
              </w:rPr>
              <w:t xml:space="preserve">Endeks tablosunun "Genel" sütunundaki sayı </w:t>
            </w:r>
          </w:p>
          <w:p w14:paraId="728F7581" w14:textId="77777777" w:rsidR="00000000" w:rsidRDefault="00000000">
            <w:pPr>
              <w:overflowPunct/>
              <w:autoSpaceDE/>
              <w:autoSpaceDN/>
              <w:spacing w:before="150" w:after="150"/>
              <w:rPr>
                <w:rFonts w:eastAsia="Times New Roman"/>
                <w:color w:val="auto"/>
              </w:rPr>
            </w:pPr>
            <w:r>
              <w:rPr>
                <w:rFonts w:eastAsia="Times New Roman"/>
                <w:color w:val="auto"/>
              </w:rPr>
              <w:br/>
            </w:r>
          </w:p>
        </w:tc>
      </w:tr>
      <w:tr w:rsidR="00000000" w14:paraId="56903A00"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5260D53" w14:textId="77777777" w:rsidR="00000000" w:rsidRDefault="00000000">
            <w:pPr>
              <w:overflowPunct/>
              <w:autoSpaceDE/>
              <w:autoSpaceDN/>
              <w:spacing w:before="150" w:after="150"/>
              <w:rPr>
                <w:rFonts w:eastAsia="Times New Roman"/>
                <w:color w:val="auto"/>
              </w:rPr>
            </w:pPr>
          </w:p>
          <w:p w14:paraId="7FDA0ADB" w14:textId="77777777" w:rsidR="00000000" w:rsidRDefault="00000000">
            <w:pPr>
              <w:wordWrap w:val="0"/>
              <w:overflowPunct/>
              <w:autoSpaceDE/>
              <w:autoSpaceDN/>
              <w:spacing w:before="150" w:after="150"/>
              <w:rPr>
                <w:rFonts w:eastAsia="Times New Roman"/>
                <w:color w:val="auto"/>
              </w:rPr>
            </w:pPr>
            <w:r>
              <w:rPr>
                <w:rFonts w:eastAsia="Times New Roman"/>
                <w:color w:val="auto"/>
              </w:rPr>
              <w:t>c (Makine ve ekipmanın amortismanına ilişkin ağırlık oranı)</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ADF6E5D" w14:textId="77777777" w:rsidR="00000000" w:rsidRDefault="00000000">
            <w:pPr>
              <w:overflowPunct/>
              <w:autoSpaceDE/>
              <w:autoSpaceDN/>
              <w:spacing w:before="150" w:after="150"/>
              <w:rPr>
                <w:rFonts w:eastAsia="Times New Roman"/>
                <w:color w:val="auto"/>
              </w:rPr>
            </w:pPr>
          </w:p>
          <w:p w14:paraId="1899DAE7"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0,2</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616F7FCC" w14:textId="77777777" w:rsidR="00000000" w:rsidRDefault="00000000">
            <w:pPr>
              <w:overflowPunct/>
              <w:autoSpaceDE/>
              <w:autoSpaceDN/>
              <w:spacing w:before="150" w:after="150"/>
              <w:rPr>
                <w:rFonts w:eastAsia="Times New Roman"/>
                <w:color w:val="auto"/>
              </w:rPr>
            </w:pPr>
          </w:p>
          <w:p w14:paraId="0D869193" w14:textId="77777777" w:rsidR="00000000" w:rsidRDefault="00000000">
            <w:pPr>
              <w:wordWrap w:val="0"/>
              <w:overflowPunct/>
              <w:autoSpaceDE/>
              <w:autoSpaceDN/>
              <w:spacing w:before="150" w:after="150"/>
              <w:jc w:val="center"/>
              <w:rPr>
                <w:rFonts w:eastAsia="Times New Roman"/>
                <w:color w:val="auto"/>
              </w:rPr>
            </w:pPr>
            <w:r>
              <w:rPr>
                <w:rFonts w:eastAsia="Times New Roman"/>
                <w:color w:val="auto"/>
              </w:rPr>
              <w:t>Mo, Mn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7E8B6D6B" w14:textId="77777777" w:rsidR="00000000" w:rsidRDefault="00000000">
            <w:pPr>
              <w:overflowPunct/>
              <w:autoSpaceDE/>
              <w:autoSpaceDN/>
              <w:spacing w:before="150" w:after="150"/>
              <w:rPr>
                <w:rFonts w:eastAsia="Times New Roman"/>
                <w:color w:val="auto"/>
              </w:rPr>
            </w:pPr>
          </w:p>
          <w:p w14:paraId="45F1AAD7" w14:textId="77777777" w:rsidR="00000000" w:rsidRDefault="00000000">
            <w:pPr>
              <w:wordWrap w:val="0"/>
              <w:overflowPunct/>
              <w:autoSpaceDE/>
              <w:autoSpaceDN/>
              <w:spacing w:before="150" w:after="150"/>
              <w:rPr>
                <w:rFonts w:eastAsia="Times New Roman"/>
                <w:color w:val="auto"/>
              </w:rPr>
            </w:pPr>
            <w:r>
              <w:rPr>
                <w:rFonts w:eastAsia="Times New Roman"/>
                <w:color w:val="auto"/>
              </w:rPr>
              <w:t xml:space="preserve">Endeks tablosunun 28 numaralı "Makine ve ekipmanlar b.y.s." sütunundaki sayı </w:t>
            </w:r>
          </w:p>
          <w:p w14:paraId="6333D571" w14:textId="77777777" w:rsidR="00000000" w:rsidRDefault="00000000">
            <w:pPr>
              <w:overflowPunct/>
              <w:autoSpaceDE/>
              <w:autoSpaceDN/>
              <w:spacing w:before="150" w:after="150"/>
              <w:rPr>
                <w:rFonts w:eastAsia="Times New Roman"/>
                <w:color w:val="auto"/>
              </w:rPr>
            </w:pPr>
            <w:r>
              <w:rPr>
                <w:rFonts w:eastAsia="Times New Roman"/>
                <w:color w:val="auto"/>
              </w:rPr>
              <w:br/>
            </w:r>
          </w:p>
        </w:tc>
      </w:tr>
    </w:tbl>
    <w:p w14:paraId="760DE5B1" w14:textId="77777777" w:rsidR="00000000" w:rsidRDefault="00000000">
      <w:pPr>
        <w:overflowPunct/>
        <w:autoSpaceDE/>
        <w:autoSpaceDN/>
        <w:spacing w:after="240"/>
        <w:rPr>
          <w:rFonts w:eastAsia="Times New Roman"/>
          <w:b/>
          <w:bCs/>
          <w:color w:val="003399"/>
          <w:u w:val="dotted"/>
        </w:rPr>
      </w:pPr>
    </w:p>
    <w:p w14:paraId="0E31B363" w14:textId="77777777" w:rsidR="00000000" w:rsidRDefault="00000000">
      <w:pPr>
        <w:spacing w:before="120"/>
        <w:jc w:val="both"/>
      </w:pPr>
      <w:r>
        <w:rPr>
          <w:b/>
          <w:bCs/>
          <w:color w:val="auto"/>
        </w:rPr>
        <w:t>Madde 47 - Hüküm Bulunmayan Haller</w:t>
      </w:r>
    </w:p>
    <w:p w14:paraId="23BB88A6" w14:textId="77777777" w:rsidR="00000000" w:rsidRDefault="00000000">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14:paraId="6C761E2C" w14:textId="77777777" w:rsidR="00000000" w:rsidRDefault="00000000">
      <w:pPr>
        <w:spacing w:before="120"/>
        <w:jc w:val="both"/>
      </w:pPr>
      <w:r>
        <w:rPr>
          <w:b/>
          <w:bCs/>
          <w:color w:val="auto"/>
        </w:rPr>
        <w:t>Madde 48 - Diğer hususlar</w:t>
      </w:r>
    </w:p>
    <w:p w14:paraId="0A705DF9" w14:textId="77777777" w:rsidR="00000000" w:rsidRDefault="00000000">
      <w:pPr>
        <w:jc w:val="both"/>
      </w:pPr>
      <w:r>
        <w:rPr>
          <w:b/>
          <w:bCs/>
        </w:rPr>
        <w:t>48.1.</w:t>
      </w:r>
      <w:r>
        <w:t xml:space="preserve"> </w:t>
      </w:r>
      <w:r>
        <w:rPr>
          <w:rStyle w:val="richtext"/>
          <w:b/>
          <w:bCs/>
          <w:color w:val="003399"/>
          <w:u w:val="dotted"/>
        </w:rPr>
        <w:t>İhalede uygulanacak sınır değer katsayısı (R): Araç Kiralama/0,72</w:t>
      </w:r>
      <w:r>
        <w:t xml:space="preserve"> </w:t>
      </w:r>
    </w:p>
    <w:p w14:paraId="13D1C0CC" w14:textId="77777777" w:rsidR="00000000" w:rsidRDefault="00000000">
      <w:pPr>
        <w:jc w:val="both"/>
      </w:pPr>
    </w:p>
    <w:p w14:paraId="70DE1372" w14:textId="77777777" w:rsidR="00000000" w:rsidRDefault="00000000">
      <w:pPr>
        <w:pStyle w:val="GvdeMetni"/>
        <w:spacing w:after="120" w:line="240" w:lineRule="auto"/>
        <w:jc w:val="center"/>
      </w:pPr>
      <w:r>
        <w:rPr>
          <w:rFonts w:ascii="Times New Roman" w:hAnsi="Times New Roman" w:cs="Times New Roman"/>
          <w:color w:val="auto"/>
          <w:sz w:val="24"/>
          <w:szCs w:val="24"/>
        </w:rPr>
        <w:t>EK:</w:t>
      </w:r>
    </w:p>
    <w:p w14:paraId="129CE53E" w14:textId="77777777" w:rsidR="00000000" w:rsidRDefault="00000000">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1953"/>
        <w:gridCol w:w="1953"/>
      </w:tblGrid>
      <w:tr w:rsidR="00000000" w14:paraId="7D9927D6"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813337F" w14:textId="77777777" w:rsidR="00000000" w:rsidRDefault="00000000">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14:paraId="03AB5CEB" w14:textId="77777777" w:rsidR="00000000" w:rsidRDefault="00000000">
            <w:pPr>
              <w:wordWrap w:val="0"/>
              <w:overflowPunct/>
              <w:autoSpaceDE/>
              <w:autoSpaceDN/>
              <w:rPr>
                <w:rFonts w:eastAsia="Times New Roman"/>
                <w:color w:val="auto"/>
              </w:rPr>
            </w:pPr>
            <w:r>
              <w:rPr>
                <w:rFonts w:eastAsia="Times New Roman"/>
                <w:b/>
                <w:bCs/>
                <w:color w:val="auto"/>
              </w:rPr>
              <w:t>Açıklama</w:t>
            </w:r>
          </w:p>
        </w:tc>
        <w:tc>
          <w:tcPr>
            <w:tcW w:w="1000" w:type="pct"/>
            <w:tcBorders>
              <w:top w:val="outset" w:sz="6" w:space="0" w:color="auto"/>
              <w:left w:val="outset" w:sz="6" w:space="0" w:color="auto"/>
              <w:bottom w:val="outset" w:sz="6" w:space="0" w:color="auto"/>
              <w:right w:val="outset" w:sz="6" w:space="0" w:color="auto"/>
            </w:tcBorders>
            <w:hideMark/>
          </w:tcPr>
          <w:p w14:paraId="60184550" w14:textId="77777777" w:rsidR="00000000" w:rsidRDefault="00000000">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14:paraId="1E27F2C5" w14:textId="77777777" w:rsidR="00000000" w:rsidRDefault="00000000">
            <w:pPr>
              <w:wordWrap w:val="0"/>
              <w:overflowPunct/>
              <w:autoSpaceDE/>
              <w:autoSpaceDN/>
              <w:rPr>
                <w:rFonts w:eastAsia="Times New Roman"/>
                <w:color w:val="auto"/>
              </w:rPr>
            </w:pPr>
            <w:r>
              <w:rPr>
                <w:rFonts w:eastAsia="Times New Roman"/>
                <w:b/>
                <w:bCs/>
                <w:color w:val="auto"/>
              </w:rPr>
              <w:t>Miktarı</w:t>
            </w:r>
          </w:p>
        </w:tc>
      </w:tr>
      <w:tr w:rsidR="00000000" w14:paraId="44CA1E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A2663" w14:textId="77777777" w:rsidR="00000000" w:rsidRDefault="00000000">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FA8A9" w14:textId="77777777" w:rsidR="00000000" w:rsidRDefault="00000000">
            <w:pPr>
              <w:wordWrap w:val="0"/>
              <w:overflowPunct/>
              <w:autoSpaceDE/>
              <w:autoSpaceDN/>
              <w:rPr>
                <w:rFonts w:eastAsia="Times New Roman"/>
                <w:color w:val="auto"/>
              </w:rPr>
            </w:pPr>
            <w:r>
              <w:rPr>
                <w:rFonts w:eastAsia="Times New Roman"/>
                <w:color w:val="auto"/>
              </w:rPr>
              <w:t>ATATÜRK İLKOKULU VE ORTAOKULU Akpınar Köyü 23,5 KM 11 öğrenci 14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64F9C"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8E306"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BF294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BD70A" w14:textId="77777777" w:rsidR="00000000" w:rsidRDefault="00000000">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55AC6" w14:textId="77777777" w:rsidR="00000000" w:rsidRDefault="00000000">
            <w:pPr>
              <w:wordWrap w:val="0"/>
              <w:overflowPunct/>
              <w:autoSpaceDE/>
              <w:autoSpaceDN/>
              <w:rPr>
                <w:rFonts w:eastAsia="Times New Roman"/>
                <w:color w:val="auto"/>
              </w:rPr>
            </w:pPr>
            <w:r>
              <w:rPr>
                <w:rFonts w:eastAsia="Times New Roman"/>
                <w:color w:val="auto"/>
              </w:rPr>
              <w:t>ATATÜRK İLKOKULU VE ORTAOKULU Avcılar Köyü 21 KM 7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823FE"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97460"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62A9E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49089" w14:textId="77777777" w:rsidR="00000000" w:rsidRDefault="00000000">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98C12" w14:textId="77777777" w:rsidR="00000000" w:rsidRDefault="00000000">
            <w:pPr>
              <w:wordWrap w:val="0"/>
              <w:overflowPunct/>
              <w:autoSpaceDE/>
              <w:autoSpaceDN/>
              <w:rPr>
                <w:rFonts w:eastAsia="Times New Roman"/>
                <w:color w:val="auto"/>
              </w:rPr>
            </w:pPr>
            <w:r>
              <w:rPr>
                <w:rFonts w:eastAsia="Times New Roman"/>
                <w:color w:val="auto"/>
              </w:rPr>
              <w:t>ATATÜRK İLKOKULU VE ORTAOKULU Civan Köyü 12 KM 10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F6024"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7F122"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145FC5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FEA2CF" w14:textId="77777777" w:rsidR="00000000" w:rsidRDefault="00000000">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88E41" w14:textId="77777777" w:rsidR="00000000" w:rsidRDefault="00000000">
            <w:pPr>
              <w:wordWrap w:val="0"/>
              <w:overflowPunct/>
              <w:autoSpaceDE/>
              <w:autoSpaceDN/>
              <w:rPr>
                <w:rFonts w:eastAsia="Times New Roman"/>
                <w:color w:val="auto"/>
              </w:rPr>
            </w:pPr>
            <w:r>
              <w:rPr>
                <w:rFonts w:eastAsia="Times New Roman"/>
                <w:color w:val="auto"/>
              </w:rPr>
              <w:t>ATATÜRK İLKOKULU VE ORTAOKULU Taraklı Köyü 22,5 KM 6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63026"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20828"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739D05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6062B" w14:textId="77777777" w:rsidR="00000000" w:rsidRDefault="00000000">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75FB0" w14:textId="77777777" w:rsidR="00000000" w:rsidRDefault="00000000">
            <w:pPr>
              <w:wordWrap w:val="0"/>
              <w:overflowPunct/>
              <w:autoSpaceDE/>
              <w:autoSpaceDN/>
              <w:rPr>
                <w:rFonts w:eastAsia="Times New Roman"/>
                <w:color w:val="auto"/>
              </w:rPr>
            </w:pPr>
            <w:r>
              <w:rPr>
                <w:rFonts w:eastAsia="Times New Roman"/>
                <w:color w:val="auto"/>
              </w:rPr>
              <w:t>ATATÜRK İLKOKULU VE ORTAOKULU Zorlu Köyü Aşağı Mahalle 30 KM 11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EA207"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ABE23"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EA73D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DB8B19" w14:textId="77777777" w:rsidR="00000000" w:rsidRDefault="00000000">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42782" w14:textId="77777777" w:rsidR="00000000" w:rsidRDefault="00000000">
            <w:pPr>
              <w:wordWrap w:val="0"/>
              <w:overflowPunct/>
              <w:autoSpaceDE/>
              <w:autoSpaceDN/>
              <w:rPr>
                <w:rFonts w:eastAsia="Times New Roman"/>
                <w:color w:val="auto"/>
              </w:rPr>
            </w:pPr>
            <w:r>
              <w:rPr>
                <w:rFonts w:eastAsia="Times New Roman"/>
                <w:color w:val="auto"/>
              </w:rPr>
              <w:t>ATATÜRK İLKOKULU VE ORTAOKULU Zorlu Köyü Aydınlar Mah. Yukarı Mahalle 30 KM 12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C6F81"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E9A6E"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1C3A5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EAC71F" w14:textId="77777777" w:rsidR="00000000" w:rsidRDefault="00000000">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5C708" w14:textId="77777777" w:rsidR="00000000" w:rsidRDefault="00000000">
            <w:pPr>
              <w:wordWrap w:val="0"/>
              <w:overflowPunct/>
              <w:autoSpaceDE/>
              <w:autoSpaceDN/>
              <w:rPr>
                <w:rFonts w:eastAsia="Times New Roman"/>
                <w:color w:val="auto"/>
              </w:rPr>
            </w:pPr>
            <w:r>
              <w:rPr>
                <w:rFonts w:eastAsia="Times New Roman"/>
                <w:color w:val="auto"/>
              </w:rPr>
              <w:t>15 TEMMUZ ŞEHİTLERİ İLKOKULU VE ORTAOKULU Demirciler Köyü Elmalı Mahallesi 14 Öğrenci 14 mlük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13E6B"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477C6"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C3E01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BC45CD" w14:textId="77777777" w:rsidR="00000000" w:rsidRDefault="00000000">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E6FEA" w14:textId="77777777" w:rsidR="00000000" w:rsidRDefault="00000000">
            <w:pPr>
              <w:wordWrap w:val="0"/>
              <w:overflowPunct/>
              <w:autoSpaceDE/>
              <w:autoSpaceDN/>
              <w:rPr>
                <w:rFonts w:eastAsia="Times New Roman"/>
                <w:color w:val="auto"/>
              </w:rPr>
            </w:pPr>
            <w:r>
              <w:rPr>
                <w:rFonts w:eastAsia="Times New Roman"/>
                <w:color w:val="auto"/>
              </w:rPr>
              <w:t>15 TEMMUZ ŞEHİTLERİ İLKOKULU VE ORTAOKULU Kaleköy ve düzhanlar petrol Mahallesi 3,5 KM 12 öğernci 14 lük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81E75"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515B1"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DAB30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BBB3E1" w14:textId="77777777" w:rsidR="00000000" w:rsidRDefault="00000000">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09C41" w14:textId="77777777" w:rsidR="00000000" w:rsidRDefault="00000000">
            <w:pPr>
              <w:wordWrap w:val="0"/>
              <w:overflowPunct/>
              <w:autoSpaceDE/>
              <w:autoSpaceDN/>
              <w:rPr>
                <w:rFonts w:eastAsia="Times New Roman"/>
                <w:color w:val="auto"/>
              </w:rPr>
            </w:pPr>
            <w:r>
              <w:rPr>
                <w:rFonts w:eastAsia="Times New Roman"/>
                <w:color w:val="auto"/>
              </w:rPr>
              <w:t>15 TEMMUZ ŞEHİTLERİ İLKOKULU VE ORTAOKULU Kaleköy Topçular Mahallesi 10 KM 11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7111B"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7E1B8"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F5955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6DA49B" w14:textId="77777777" w:rsidR="00000000" w:rsidRDefault="00000000">
            <w:pPr>
              <w:wordWrap w:val="0"/>
              <w:overflowPunct/>
              <w:autoSpaceDE/>
              <w:autoSpaceDN/>
              <w:rPr>
                <w:rFonts w:eastAsia="Times New Roman"/>
                <w:color w:val="auto"/>
              </w:rPr>
            </w:pPr>
            <w:r>
              <w:rPr>
                <w:rFonts w:eastAsia="Times New Roman"/>
                <w:color w:val="aut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0B46F" w14:textId="77777777" w:rsidR="00000000" w:rsidRDefault="00000000">
            <w:pPr>
              <w:wordWrap w:val="0"/>
              <w:overflowPunct/>
              <w:autoSpaceDE/>
              <w:autoSpaceDN/>
              <w:rPr>
                <w:rFonts w:eastAsia="Times New Roman"/>
                <w:color w:val="auto"/>
              </w:rPr>
            </w:pPr>
            <w:r>
              <w:rPr>
                <w:rFonts w:eastAsia="Times New Roman"/>
                <w:color w:val="auto"/>
              </w:rPr>
              <w:t>15 TEMMUZ ŞEHİTLERİ İLKOKULU VE ORTAOKULU Çifteköprü Köyü Çiftepınar Mah. 11,2 KM 7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6F644"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276EE"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7874B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2BAC05" w14:textId="77777777" w:rsidR="00000000" w:rsidRDefault="00000000">
            <w:pPr>
              <w:wordWrap w:val="0"/>
              <w:overflowPunct/>
              <w:autoSpaceDE/>
              <w:autoSpaceDN/>
              <w:rPr>
                <w:rFonts w:eastAsia="Times New Roman"/>
                <w:color w:val="auto"/>
              </w:rPr>
            </w:pPr>
            <w:r>
              <w:rPr>
                <w:rFonts w:eastAsia="Times New Roman"/>
                <w:color w:val="aut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3053F" w14:textId="77777777" w:rsidR="00000000" w:rsidRDefault="00000000">
            <w:pPr>
              <w:wordWrap w:val="0"/>
              <w:overflowPunct/>
              <w:autoSpaceDE/>
              <w:autoSpaceDN/>
              <w:rPr>
                <w:rFonts w:eastAsia="Times New Roman"/>
                <w:color w:val="auto"/>
              </w:rPr>
            </w:pPr>
            <w:r>
              <w:rPr>
                <w:rFonts w:eastAsia="Times New Roman"/>
                <w:color w:val="auto"/>
              </w:rPr>
              <w:t>15 TEMMUZ ŞEHİTLERİ İLKOKULU VE ORTAOKULU Demirciler Köyü Ormanlı Mah. 11 KM 6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D1C06"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8FFB9"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310CA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6D16DD" w14:textId="77777777" w:rsidR="00000000" w:rsidRDefault="00000000">
            <w:pPr>
              <w:wordWrap w:val="0"/>
              <w:overflowPunct/>
              <w:autoSpaceDE/>
              <w:autoSpaceDN/>
              <w:rPr>
                <w:rFonts w:eastAsia="Times New Roman"/>
                <w:color w:val="auto"/>
              </w:rPr>
            </w:pPr>
            <w:r>
              <w:rPr>
                <w:rFonts w:eastAsia="Times New Roman"/>
                <w:color w:val="aut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2D8AD" w14:textId="77777777" w:rsidR="00000000" w:rsidRDefault="00000000">
            <w:pPr>
              <w:wordWrap w:val="0"/>
              <w:overflowPunct/>
              <w:autoSpaceDE/>
              <w:autoSpaceDN/>
              <w:rPr>
                <w:rFonts w:eastAsia="Times New Roman"/>
                <w:color w:val="auto"/>
              </w:rPr>
            </w:pPr>
            <w:r>
              <w:rPr>
                <w:rFonts w:eastAsia="Times New Roman"/>
                <w:color w:val="auto"/>
              </w:rPr>
              <w:t>CUMHURİYET İLKOKULU VE ORTAOKULU İbrikli Esentepe 7.5 Km 5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F4E20"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4DD0B"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F3A88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1E8B2" w14:textId="77777777" w:rsidR="00000000" w:rsidRDefault="00000000">
            <w:pPr>
              <w:wordWrap w:val="0"/>
              <w:overflowPunct/>
              <w:autoSpaceDE/>
              <w:autoSpaceDN/>
              <w:rPr>
                <w:rFonts w:eastAsia="Times New Roman"/>
                <w:color w:val="auto"/>
              </w:rPr>
            </w:pPr>
            <w:r>
              <w:rPr>
                <w:rFonts w:eastAsia="Times New Roman"/>
                <w:color w:val="aut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8EA9A" w14:textId="77777777" w:rsidR="00000000" w:rsidRDefault="00000000">
            <w:pPr>
              <w:wordWrap w:val="0"/>
              <w:overflowPunct/>
              <w:autoSpaceDE/>
              <w:autoSpaceDN/>
              <w:rPr>
                <w:rFonts w:eastAsia="Times New Roman"/>
                <w:color w:val="auto"/>
              </w:rPr>
            </w:pPr>
            <w:r>
              <w:rPr>
                <w:rFonts w:eastAsia="Times New Roman"/>
                <w:color w:val="auto"/>
              </w:rPr>
              <w:t>CUMHURİYET İLKOKULU VE ORTAOKULU İbirikli Kiremitçiler Mah 6 öğrenci 12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CEC09"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80A29"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407BA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64864" w14:textId="77777777" w:rsidR="00000000" w:rsidRDefault="00000000">
            <w:pPr>
              <w:wordWrap w:val="0"/>
              <w:overflowPunct/>
              <w:autoSpaceDE/>
              <w:autoSpaceDN/>
              <w:rPr>
                <w:rFonts w:eastAsia="Times New Roman"/>
                <w:color w:val="auto"/>
              </w:rPr>
            </w:pPr>
            <w:r>
              <w:rPr>
                <w:rFonts w:eastAsia="Times New Roman"/>
                <w:color w:val="aut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3E07F" w14:textId="77777777" w:rsidR="00000000" w:rsidRDefault="00000000">
            <w:pPr>
              <w:wordWrap w:val="0"/>
              <w:overflowPunct/>
              <w:autoSpaceDE/>
              <w:autoSpaceDN/>
              <w:rPr>
                <w:rFonts w:eastAsia="Times New Roman"/>
                <w:color w:val="auto"/>
              </w:rPr>
            </w:pPr>
            <w:r>
              <w:rPr>
                <w:rFonts w:eastAsia="Times New Roman"/>
                <w:color w:val="auto"/>
              </w:rPr>
              <w:t>CUMHURİYET İLKOKULU VE ORTAOKULU Arkaköy İlkokul 7 KM 14 öğrenci 14 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83C81"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60EEE"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CD44D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7CF6AE" w14:textId="77777777" w:rsidR="00000000" w:rsidRDefault="00000000">
            <w:pPr>
              <w:wordWrap w:val="0"/>
              <w:overflowPunct/>
              <w:autoSpaceDE/>
              <w:autoSpaceDN/>
              <w:rPr>
                <w:rFonts w:eastAsia="Times New Roman"/>
                <w:color w:val="auto"/>
              </w:rPr>
            </w:pPr>
            <w:r>
              <w:rPr>
                <w:rFonts w:eastAsia="Times New Roman"/>
                <w:color w:val="aut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057DC" w14:textId="77777777" w:rsidR="00000000" w:rsidRDefault="00000000">
            <w:pPr>
              <w:wordWrap w:val="0"/>
              <w:overflowPunct/>
              <w:autoSpaceDE/>
              <w:autoSpaceDN/>
              <w:rPr>
                <w:rFonts w:eastAsia="Times New Roman"/>
                <w:color w:val="auto"/>
              </w:rPr>
            </w:pPr>
            <w:r>
              <w:rPr>
                <w:rFonts w:eastAsia="Times New Roman"/>
                <w:color w:val="auto"/>
              </w:rPr>
              <w:t>CUMHURİYET İLKOKULU VE ORTAOKULU Arkaköy Ortaokul 8,5 km 9 öğrenci 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78D48"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3CE76"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16907F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A154D" w14:textId="77777777" w:rsidR="00000000" w:rsidRDefault="00000000">
            <w:pPr>
              <w:wordWrap w:val="0"/>
              <w:overflowPunct/>
              <w:autoSpaceDE/>
              <w:autoSpaceDN/>
              <w:rPr>
                <w:rFonts w:eastAsia="Times New Roman"/>
                <w:color w:val="auto"/>
              </w:rPr>
            </w:pPr>
            <w:r>
              <w:rPr>
                <w:rFonts w:eastAsia="Times New Roman"/>
                <w:color w:val="aut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FD52" w14:textId="77777777" w:rsidR="00000000" w:rsidRDefault="00000000">
            <w:pPr>
              <w:wordWrap w:val="0"/>
              <w:overflowPunct/>
              <w:autoSpaceDE/>
              <w:autoSpaceDN/>
              <w:rPr>
                <w:rFonts w:eastAsia="Times New Roman"/>
                <w:color w:val="auto"/>
              </w:rPr>
            </w:pPr>
            <w:r>
              <w:rPr>
                <w:rFonts w:eastAsia="Times New Roman"/>
                <w:color w:val="auto"/>
              </w:rPr>
              <w:t>CUMHURİYET İLKOKULU VE ORTAOKULU Alaca Köyü Orhanlı Mh. 9 öğrenci 10 km 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5FE2A"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48720"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589CA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6AB7B" w14:textId="77777777" w:rsidR="00000000" w:rsidRDefault="00000000">
            <w:pPr>
              <w:wordWrap w:val="0"/>
              <w:overflowPunct/>
              <w:autoSpaceDE/>
              <w:autoSpaceDN/>
              <w:rPr>
                <w:rFonts w:eastAsia="Times New Roman"/>
                <w:color w:val="auto"/>
              </w:rPr>
            </w:pPr>
            <w:r>
              <w:rPr>
                <w:rFonts w:eastAsia="Times New Roman"/>
                <w:color w:val="aut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D70D1" w14:textId="77777777" w:rsidR="00000000" w:rsidRDefault="00000000">
            <w:pPr>
              <w:wordWrap w:val="0"/>
              <w:overflowPunct/>
              <w:autoSpaceDE/>
              <w:autoSpaceDN/>
              <w:rPr>
                <w:rFonts w:eastAsia="Times New Roman"/>
                <w:color w:val="auto"/>
              </w:rPr>
            </w:pPr>
            <w:r>
              <w:rPr>
                <w:rFonts w:eastAsia="Times New Roman"/>
                <w:color w:val="auto"/>
              </w:rPr>
              <w:t>CUMHURİYET İLKOKULU VE ORTAOKULU Alaca Köyü Ortadere mah. 10 km 7 öğrenci 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DC150"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E0D87"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B69B6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250EDB" w14:textId="77777777" w:rsidR="00000000" w:rsidRDefault="00000000">
            <w:pPr>
              <w:wordWrap w:val="0"/>
              <w:overflowPunct/>
              <w:autoSpaceDE/>
              <w:autoSpaceDN/>
              <w:rPr>
                <w:rFonts w:eastAsia="Times New Roman"/>
                <w:color w:val="auto"/>
              </w:rPr>
            </w:pPr>
            <w:r>
              <w:rPr>
                <w:rFonts w:eastAsia="Times New Roman"/>
                <w:color w:val="aut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79C75" w14:textId="77777777" w:rsidR="00000000" w:rsidRDefault="00000000">
            <w:pPr>
              <w:wordWrap w:val="0"/>
              <w:overflowPunct/>
              <w:autoSpaceDE/>
              <w:autoSpaceDN/>
              <w:rPr>
                <w:rFonts w:eastAsia="Times New Roman"/>
                <w:color w:val="auto"/>
              </w:rPr>
            </w:pPr>
            <w:r>
              <w:rPr>
                <w:rFonts w:eastAsia="Times New Roman"/>
                <w:color w:val="auto"/>
              </w:rPr>
              <w:t>CUMHURİYET İLKOKULU VE ORTAOKULU Kaynarca Köyü Dere Mh. 21 km 9 öğrenci 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A177D"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DEDD"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17D09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9B78A5" w14:textId="77777777" w:rsidR="00000000" w:rsidRDefault="00000000">
            <w:pPr>
              <w:wordWrap w:val="0"/>
              <w:overflowPunct/>
              <w:autoSpaceDE/>
              <w:autoSpaceDN/>
              <w:rPr>
                <w:rFonts w:eastAsia="Times New Roman"/>
                <w:color w:val="auto"/>
              </w:rPr>
            </w:pPr>
            <w:r>
              <w:rPr>
                <w:rFonts w:eastAsia="Times New Roman"/>
                <w:color w:val="aut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FFD8D" w14:textId="77777777" w:rsidR="00000000" w:rsidRDefault="00000000">
            <w:pPr>
              <w:wordWrap w:val="0"/>
              <w:overflowPunct/>
              <w:autoSpaceDE/>
              <w:autoSpaceDN/>
              <w:rPr>
                <w:rFonts w:eastAsia="Times New Roman"/>
                <w:color w:val="auto"/>
              </w:rPr>
            </w:pPr>
            <w:r>
              <w:rPr>
                <w:rFonts w:eastAsia="Times New Roman"/>
                <w:color w:val="auto"/>
              </w:rPr>
              <w:t>DÜZKÖY İLKOKULU VE ORTAOKULU Fındıklı Köyü 8 km 14 öğrenci 14 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ED920"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C5E5D"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CCA0B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DE7263" w14:textId="77777777" w:rsidR="00000000" w:rsidRDefault="00000000">
            <w:pPr>
              <w:wordWrap w:val="0"/>
              <w:overflowPunct/>
              <w:autoSpaceDE/>
              <w:autoSpaceDN/>
              <w:rPr>
                <w:rFonts w:eastAsia="Times New Roman"/>
                <w:color w:val="auto"/>
              </w:rPr>
            </w:pPr>
            <w:r>
              <w:rPr>
                <w:rFonts w:eastAsia="Times New Roman"/>
                <w:color w:val="auto"/>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6FBC2" w14:textId="77777777" w:rsidR="00000000" w:rsidRDefault="00000000">
            <w:pPr>
              <w:wordWrap w:val="0"/>
              <w:overflowPunct/>
              <w:autoSpaceDE/>
              <w:autoSpaceDN/>
              <w:rPr>
                <w:rFonts w:eastAsia="Times New Roman"/>
                <w:color w:val="auto"/>
              </w:rPr>
            </w:pPr>
            <w:r>
              <w:rPr>
                <w:rFonts w:eastAsia="Times New Roman"/>
                <w:color w:val="auto"/>
              </w:rPr>
              <w:t>DÜZKÖY İLKOKULU VE ORTAOKULU Düzköy Cevizli Çat Mh. 5km 13 öğrenci 14 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5195E"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0776"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831DA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0E6E9" w14:textId="77777777" w:rsidR="00000000" w:rsidRDefault="00000000">
            <w:pPr>
              <w:wordWrap w:val="0"/>
              <w:overflowPunct/>
              <w:autoSpaceDE/>
              <w:autoSpaceDN/>
              <w:rPr>
                <w:rFonts w:eastAsia="Times New Roman"/>
                <w:color w:val="auto"/>
              </w:rPr>
            </w:pPr>
            <w:r>
              <w:rPr>
                <w:rFonts w:eastAsia="Times New Roman"/>
                <w:color w:val="aut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7533C" w14:textId="77777777" w:rsidR="00000000" w:rsidRDefault="00000000">
            <w:pPr>
              <w:wordWrap w:val="0"/>
              <w:overflowPunct/>
              <w:autoSpaceDE/>
              <w:autoSpaceDN/>
              <w:rPr>
                <w:rFonts w:eastAsia="Times New Roman"/>
                <w:color w:val="auto"/>
              </w:rPr>
            </w:pPr>
            <w:r>
              <w:rPr>
                <w:rFonts w:eastAsia="Times New Roman"/>
                <w:color w:val="auto"/>
              </w:rPr>
              <w:t>GÜREŞEN ŞEHİT RESUL KAKŞİ İLKOKULU VE ORTAOKULU Güreşen Köyü Boyalı Kesiktaş Mh 4,2km 3 öğrenci 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0EF6D"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DFF23"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7C3B3E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86F39F" w14:textId="77777777" w:rsidR="00000000" w:rsidRDefault="00000000">
            <w:pPr>
              <w:wordWrap w:val="0"/>
              <w:overflowPunct/>
              <w:autoSpaceDE/>
              <w:autoSpaceDN/>
              <w:rPr>
                <w:rFonts w:eastAsia="Times New Roman"/>
                <w:color w:val="auto"/>
              </w:rPr>
            </w:pPr>
            <w:r>
              <w:rPr>
                <w:rFonts w:eastAsia="Times New Roman"/>
                <w:color w:val="aut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CFEDD" w14:textId="77777777" w:rsidR="00000000" w:rsidRDefault="00000000">
            <w:pPr>
              <w:wordWrap w:val="0"/>
              <w:overflowPunct/>
              <w:autoSpaceDE/>
              <w:autoSpaceDN/>
              <w:rPr>
                <w:rFonts w:eastAsia="Times New Roman"/>
                <w:color w:val="auto"/>
              </w:rPr>
            </w:pPr>
            <w:r>
              <w:rPr>
                <w:rFonts w:eastAsia="Times New Roman"/>
                <w:color w:val="auto"/>
              </w:rPr>
              <w:t>GÜREŞEN ŞEHİT RESUL KAKŞİ İLKOKULU VE ORTAOKULU Çaylı Köyü Kurşunlu Mah. 4,2 km 2 öğrenci 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A57E7"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AF6CF"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7F0383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537FB" w14:textId="77777777" w:rsidR="00000000" w:rsidRDefault="00000000">
            <w:pPr>
              <w:wordWrap w:val="0"/>
              <w:overflowPunct/>
              <w:autoSpaceDE/>
              <w:autoSpaceDN/>
              <w:rPr>
                <w:rFonts w:eastAsia="Times New Roman"/>
                <w:color w:val="auto"/>
              </w:rPr>
            </w:pPr>
            <w:r>
              <w:rPr>
                <w:rFonts w:eastAsia="Times New Roman"/>
                <w:color w:val="aut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14DC3" w14:textId="77777777" w:rsidR="00000000" w:rsidRDefault="00000000">
            <w:pPr>
              <w:wordWrap w:val="0"/>
              <w:overflowPunct/>
              <w:autoSpaceDE/>
              <w:autoSpaceDN/>
              <w:rPr>
                <w:rFonts w:eastAsia="Times New Roman"/>
                <w:color w:val="auto"/>
              </w:rPr>
            </w:pPr>
            <w:r>
              <w:rPr>
                <w:rFonts w:eastAsia="Times New Roman"/>
                <w:color w:val="auto"/>
              </w:rPr>
              <w:t>GÜREŞEN ŞEHİT RESUL KAKŞİ İLKOKULU VE ORTAOKULU Gğreşen Köyü Madenli Mh. 4,7 km 6öğrenci12 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0E073"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F4E80"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4B864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DBA101" w14:textId="77777777" w:rsidR="00000000" w:rsidRDefault="00000000">
            <w:pPr>
              <w:wordWrap w:val="0"/>
              <w:overflowPunct/>
              <w:autoSpaceDE/>
              <w:autoSpaceDN/>
              <w:rPr>
                <w:rFonts w:eastAsia="Times New Roman"/>
                <w:color w:val="auto"/>
              </w:rPr>
            </w:pPr>
            <w:r>
              <w:rPr>
                <w:rFonts w:eastAsia="Times New Roman"/>
                <w:color w:val="aut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C6DEB" w14:textId="77777777" w:rsidR="00000000" w:rsidRDefault="00000000">
            <w:pPr>
              <w:wordWrap w:val="0"/>
              <w:overflowPunct/>
              <w:autoSpaceDE/>
              <w:autoSpaceDN/>
              <w:rPr>
                <w:rFonts w:eastAsia="Times New Roman"/>
                <w:color w:val="auto"/>
              </w:rPr>
            </w:pPr>
            <w:r>
              <w:rPr>
                <w:rFonts w:eastAsia="Times New Roman"/>
                <w:color w:val="auto"/>
              </w:rPr>
              <w:t>GÜREŞEN ŞEHİT RESUL KAKŞİ İLKOKULU VE ORTAOKULU Boğazköy Köyü 7,6km 13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19FF2"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1DD02"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0F4923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EAD2E1" w14:textId="77777777" w:rsidR="00000000" w:rsidRDefault="00000000">
            <w:pPr>
              <w:wordWrap w:val="0"/>
              <w:overflowPunct/>
              <w:autoSpaceDE/>
              <w:autoSpaceDN/>
              <w:rPr>
                <w:rFonts w:eastAsia="Times New Roman"/>
                <w:color w:val="auto"/>
              </w:rPr>
            </w:pPr>
            <w:r>
              <w:rPr>
                <w:rFonts w:eastAsia="Times New Roman"/>
                <w:color w:val="aut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8BD3B" w14:textId="77777777" w:rsidR="00000000" w:rsidRDefault="00000000">
            <w:pPr>
              <w:wordWrap w:val="0"/>
              <w:overflowPunct/>
              <w:autoSpaceDE/>
              <w:autoSpaceDN/>
              <w:rPr>
                <w:rFonts w:eastAsia="Times New Roman"/>
                <w:color w:val="auto"/>
              </w:rPr>
            </w:pPr>
            <w:r>
              <w:rPr>
                <w:rFonts w:eastAsia="Times New Roman"/>
                <w:color w:val="auto"/>
              </w:rPr>
              <w:t>GÜREŞEN ŞEHİT RESUL KAKŞİ İLKOKULU VE ORTAOKULU Güreşen Köyü Selimiye 4km 2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062D1"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BB26F"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F12F0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9CFFA" w14:textId="77777777" w:rsidR="00000000" w:rsidRDefault="00000000">
            <w:pPr>
              <w:wordWrap w:val="0"/>
              <w:overflowPunct/>
              <w:autoSpaceDE/>
              <w:autoSpaceDN/>
              <w:rPr>
                <w:rFonts w:eastAsia="Times New Roman"/>
                <w:color w:val="auto"/>
              </w:rPr>
            </w:pPr>
            <w:r>
              <w:rPr>
                <w:rFonts w:eastAsia="Times New Roman"/>
                <w:color w:val="aut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C641D" w14:textId="77777777" w:rsidR="00000000" w:rsidRDefault="00000000">
            <w:pPr>
              <w:wordWrap w:val="0"/>
              <w:overflowPunct/>
              <w:autoSpaceDE/>
              <w:autoSpaceDN/>
              <w:rPr>
                <w:rFonts w:eastAsia="Times New Roman"/>
                <w:color w:val="auto"/>
              </w:rPr>
            </w:pPr>
            <w:r>
              <w:rPr>
                <w:rFonts w:eastAsia="Times New Roman"/>
                <w:color w:val="auto"/>
              </w:rPr>
              <w:t>GÜREŞEN ŞEHİT RESUL KAKŞİ İLKOKULU VE ORTAOKULU Şerefiye Köyü 6,1km 3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99283"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68D98"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6FB40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A29C53" w14:textId="77777777" w:rsidR="00000000" w:rsidRDefault="00000000">
            <w:pPr>
              <w:wordWrap w:val="0"/>
              <w:overflowPunct/>
              <w:autoSpaceDE/>
              <w:autoSpaceDN/>
              <w:rPr>
                <w:rFonts w:eastAsia="Times New Roman"/>
                <w:color w:val="auto"/>
              </w:rPr>
            </w:pPr>
            <w:r>
              <w:rPr>
                <w:rFonts w:eastAsia="Times New Roman"/>
                <w:color w:val="aut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3ECDB" w14:textId="77777777" w:rsidR="00000000" w:rsidRDefault="00000000">
            <w:pPr>
              <w:wordWrap w:val="0"/>
              <w:overflowPunct/>
              <w:autoSpaceDE/>
              <w:autoSpaceDN/>
              <w:rPr>
                <w:rFonts w:eastAsia="Times New Roman"/>
                <w:color w:val="auto"/>
              </w:rPr>
            </w:pPr>
            <w:r>
              <w:rPr>
                <w:rFonts w:eastAsia="Times New Roman"/>
                <w:color w:val="auto"/>
              </w:rPr>
              <w:t>MURATLI İLKOKULU Çavuşlu Köyü Çermik Mh.10 km 3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232B9"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0C0A5"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526F45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2B20D" w14:textId="77777777" w:rsidR="00000000" w:rsidRDefault="00000000">
            <w:pPr>
              <w:wordWrap w:val="0"/>
              <w:overflowPunct/>
              <w:autoSpaceDE/>
              <w:autoSpaceDN/>
              <w:rPr>
                <w:rFonts w:eastAsia="Times New Roman"/>
                <w:color w:val="auto"/>
              </w:rPr>
            </w:pPr>
            <w:r>
              <w:rPr>
                <w:rFonts w:eastAsia="Times New Roman"/>
                <w:color w:val="aut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55692" w14:textId="77777777" w:rsidR="00000000" w:rsidRDefault="00000000">
            <w:pPr>
              <w:wordWrap w:val="0"/>
              <w:overflowPunct/>
              <w:autoSpaceDE/>
              <w:autoSpaceDN/>
              <w:rPr>
                <w:rFonts w:eastAsia="Times New Roman"/>
                <w:color w:val="auto"/>
              </w:rPr>
            </w:pPr>
            <w:r>
              <w:rPr>
                <w:rFonts w:eastAsia="Times New Roman"/>
                <w:color w:val="auto"/>
              </w:rPr>
              <w:t>İMAM HATİP ORTAOKULU Aksu Mh 2.Durak 2,5km 12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6DB35"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454A0"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034649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6CFB4" w14:textId="77777777" w:rsidR="00000000" w:rsidRDefault="00000000">
            <w:pPr>
              <w:wordWrap w:val="0"/>
              <w:overflowPunct/>
              <w:autoSpaceDE/>
              <w:autoSpaceDN/>
              <w:rPr>
                <w:rFonts w:eastAsia="Times New Roman"/>
                <w:color w:val="auto"/>
              </w:rPr>
            </w:pPr>
            <w:r>
              <w:rPr>
                <w:rFonts w:eastAsia="Times New Roman"/>
                <w:color w:val="auto"/>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ADF44" w14:textId="77777777" w:rsidR="00000000" w:rsidRDefault="00000000">
            <w:pPr>
              <w:wordWrap w:val="0"/>
              <w:overflowPunct/>
              <w:autoSpaceDE/>
              <w:autoSpaceDN/>
              <w:rPr>
                <w:rFonts w:eastAsia="Times New Roman"/>
                <w:color w:val="auto"/>
              </w:rPr>
            </w:pPr>
            <w:r>
              <w:rPr>
                <w:rFonts w:eastAsia="Times New Roman"/>
                <w:color w:val="auto"/>
              </w:rPr>
              <w:t>İMAM HATİP ORTAOKULU Aksu Mh. 1.durak 2,5km 13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41A5A"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3E935"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E862D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6D7DC5" w14:textId="77777777" w:rsidR="00000000" w:rsidRDefault="00000000">
            <w:pPr>
              <w:wordWrap w:val="0"/>
              <w:overflowPunct/>
              <w:autoSpaceDE/>
              <w:autoSpaceDN/>
              <w:rPr>
                <w:rFonts w:eastAsia="Times New Roman"/>
                <w:color w:val="auto"/>
              </w:rPr>
            </w:pPr>
            <w:r>
              <w:rPr>
                <w:rFonts w:eastAsia="Times New Roman"/>
                <w:color w:val="aut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EC6B0" w14:textId="77777777" w:rsidR="00000000" w:rsidRDefault="00000000">
            <w:pPr>
              <w:wordWrap w:val="0"/>
              <w:overflowPunct/>
              <w:autoSpaceDE/>
              <w:autoSpaceDN/>
              <w:rPr>
                <w:rFonts w:eastAsia="Times New Roman"/>
                <w:color w:val="auto"/>
              </w:rPr>
            </w:pPr>
            <w:r>
              <w:rPr>
                <w:rFonts w:eastAsia="Times New Roman"/>
                <w:color w:val="auto"/>
              </w:rPr>
              <w:t>İMAM HATİP ORTAOKULU Eski Hopa Yolu Küçükköy Mh. 3km 14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9096E"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BA357"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037D27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88985F" w14:textId="77777777" w:rsidR="00000000" w:rsidRDefault="00000000">
            <w:pPr>
              <w:wordWrap w:val="0"/>
              <w:overflowPunct/>
              <w:autoSpaceDE/>
              <w:autoSpaceDN/>
              <w:rPr>
                <w:rFonts w:eastAsia="Times New Roman"/>
                <w:color w:val="auto"/>
              </w:rPr>
            </w:pPr>
            <w:r>
              <w:rPr>
                <w:rFonts w:eastAsia="Times New Roman"/>
                <w:color w:val="auto"/>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A20B8" w14:textId="77777777" w:rsidR="00000000" w:rsidRDefault="00000000">
            <w:pPr>
              <w:wordWrap w:val="0"/>
              <w:overflowPunct/>
              <w:autoSpaceDE/>
              <w:autoSpaceDN/>
              <w:rPr>
                <w:rFonts w:eastAsia="Times New Roman"/>
                <w:color w:val="auto"/>
              </w:rPr>
            </w:pPr>
            <w:r>
              <w:rPr>
                <w:rFonts w:eastAsia="Times New Roman"/>
                <w:color w:val="auto"/>
              </w:rPr>
              <w:t>İMAM HATİP ORTAOKULU Aydınlar Mh 2.Durak 2km 13 çğrenci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61321"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89C32"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3CEE4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A8E58" w14:textId="77777777" w:rsidR="00000000" w:rsidRDefault="00000000">
            <w:pPr>
              <w:wordWrap w:val="0"/>
              <w:overflowPunct/>
              <w:autoSpaceDE/>
              <w:autoSpaceDN/>
              <w:rPr>
                <w:rFonts w:eastAsia="Times New Roman"/>
                <w:color w:val="auto"/>
              </w:rPr>
            </w:pPr>
            <w:r>
              <w:rPr>
                <w:rFonts w:eastAsia="Times New Roman"/>
                <w:color w:val="auto"/>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3BC81" w14:textId="77777777" w:rsidR="00000000" w:rsidRDefault="00000000">
            <w:pPr>
              <w:wordWrap w:val="0"/>
              <w:overflowPunct/>
              <w:autoSpaceDE/>
              <w:autoSpaceDN/>
              <w:rPr>
                <w:rFonts w:eastAsia="Times New Roman"/>
                <w:color w:val="auto"/>
              </w:rPr>
            </w:pPr>
            <w:r>
              <w:rPr>
                <w:rFonts w:eastAsia="Times New Roman"/>
                <w:color w:val="auto"/>
              </w:rPr>
              <w:t>İMAM HATİP ORTAOKULU Ydınlar Mh. Maradit cad. 1.Durak 2,5km 14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3887E"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80544"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E1B14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0E66D" w14:textId="77777777" w:rsidR="00000000" w:rsidRDefault="00000000">
            <w:pPr>
              <w:wordWrap w:val="0"/>
              <w:overflowPunct/>
              <w:autoSpaceDE/>
              <w:autoSpaceDN/>
              <w:rPr>
                <w:rFonts w:eastAsia="Times New Roman"/>
                <w:color w:val="auto"/>
              </w:rPr>
            </w:pPr>
            <w:r>
              <w:rPr>
                <w:rFonts w:eastAsia="Times New Roman"/>
                <w:color w:val="auto"/>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4B38C" w14:textId="77777777" w:rsidR="00000000" w:rsidRDefault="00000000">
            <w:pPr>
              <w:wordWrap w:val="0"/>
              <w:overflowPunct/>
              <w:autoSpaceDE/>
              <w:autoSpaceDN/>
              <w:rPr>
                <w:rFonts w:eastAsia="Times New Roman"/>
                <w:color w:val="auto"/>
              </w:rPr>
            </w:pPr>
            <w:r>
              <w:rPr>
                <w:rFonts w:eastAsia="Times New Roman"/>
                <w:color w:val="auto"/>
              </w:rPr>
              <w:t>İMAM HATİP ORTAOKULU Ydınlar Alt ve Üst Mh 2km 4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8D46F"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A603E"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1345EA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BFA6D" w14:textId="77777777" w:rsidR="00000000" w:rsidRDefault="00000000">
            <w:pPr>
              <w:wordWrap w:val="0"/>
              <w:overflowPunct/>
              <w:autoSpaceDE/>
              <w:autoSpaceDN/>
              <w:rPr>
                <w:rFonts w:eastAsia="Times New Roman"/>
                <w:color w:val="auto"/>
              </w:rPr>
            </w:pPr>
            <w:r>
              <w:rPr>
                <w:rFonts w:eastAsia="Times New Roman"/>
                <w:color w:val="auto"/>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3160B" w14:textId="77777777" w:rsidR="00000000" w:rsidRDefault="00000000">
            <w:pPr>
              <w:wordWrap w:val="0"/>
              <w:overflowPunct/>
              <w:autoSpaceDE/>
              <w:autoSpaceDN/>
              <w:rPr>
                <w:rFonts w:eastAsia="Times New Roman"/>
                <w:color w:val="auto"/>
              </w:rPr>
            </w:pPr>
            <w:r>
              <w:rPr>
                <w:rFonts w:eastAsia="Times New Roman"/>
                <w:color w:val="auto"/>
              </w:rPr>
              <w:t>İMAM HATİP ORTAOKULU Güneşli Köyü 30km 5 öğrenci 12lik araçla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173CB"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41DBD"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12DB1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43E5AE" w14:textId="77777777" w:rsidR="00000000" w:rsidRDefault="00000000">
            <w:pPr>
              <w:wordWrap w:val="0"/>
              <w:overflowPunct/>
              <w:autoSpaceDE/>
              <w:autoSpaceDN/>
              <w:rPr>
                <w:rFonts w:eastAsia="Times New Roman"/>
                <w:color w:val="auto"/>
              </w:rPr>
            </w:pPr>
            <w:r>
              <w:rPr>
                <w:rFonts w:eastAsia="Times New Roman"/>
                <w:color w:val="aut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F48D5" w14:textId="77777777" w:rsidR="00000000" w:rsidRDefault="00000000">
            <w:pPr>
              <w:wordWrap w:val="0"/>
              <w:overflowPunct/>
              <w:autoSpaceDE/>
              <w:autoSpaceDN/>
              <w:rPr>
                <w:rFonts w:eastAsia="Times New Roman"/>
                <w:color w:val="auto"/>
              </w:rPr>
            </w:pPr>
            <w:r>
              <w:rPr>
                <w:rFonts w:eastAsia="Times New Roman"/>
                <w:color w:val="auto"/>
              </w:rPr>
              <w:t>İMAM HATİP ORTAOKULU Demirciler Köyü kaleköy hopa yolu kestanelik 12km 4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A00B3"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9AD64"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57808B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FC126A" w14:textId="77777777" w:rsidR="00000000" w:rsidRDefault="00000000">
            <w:pPr>
              <w:wordWrap w:val="0"/>
              <w:overflowPunct/>
              <w:autoSpaceDE/>
              <w:autoSpaceDN/>
              <w:rPr>
                <w:rFonts w:eastAsia="Times New Roman"/>
                <w:color w:val="auto"/>
              </w:rPr>
            </w:pPr>
            <w:r>
              <w:rPr>
                <w:rFonts w:eastAsia="Times New Roman"/>
                <w:color w:val="auto"/>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B3D5B" w14:textId="77777777" w:rsidR="00000000" w:rsidRDefault="00000000">
            <w:pPr>
              <w:wordWrap w:val="0"/>
              <w:overflowPunct/>
              <w:autoSpaceDE/>
              <w:autoSpaceDN/>
              <w:rPr>
                <w:rFonts w:eastAsia="Times New Roman"/>
                <w:color w:val="auto"/>
              </w:rPr>
            </w:pPr>
            <w:r>
              <w:rPr>
                <w:rFonts w:eastAsia="Times New Roman"/>
                <w:color w:val="auto"/>
              </w:rPr>
              <w:t>YENİYOL İLKOKULU VE ORTAOKULU Eski hopa yolu 2km 14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DA586"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3DAE0"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8BF36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619813" w14:textId="77777777" w:rsidR="00000000" w:rsidRDefault="00000000">
            <w:pPr>
              <w:wordWrap w:val="0"/>
              <w:overflowPunct/>
              <w:autoSpaceDE/>
              <w:autoSpaceDN/>
              <w:rPr>
                <w:rFonts w:eastAsia="Times New Roman"/>
                <w:color w:val="auto"/>
              </w:rPr>
            </w:pPr>
            <w:r>
              <w:rPr>
                <w:rFonts w:eastAsia="Times New Roman"/>
                <w:color w:val="auto"/>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414A1" w14:textId="77777777" w:rsidR="00000000" w:rsidRDefault="00000000">
            <w:pPr>
              <w:wordWrap w:val="0"/>
              <w:overflowPunct/>
              <w:autoSpaceDE/>
              <w:autoSpaceDN/>
              <w:rPr>
                <w:rFonts w:eastAsia="Times New Roman"/>
                <w:color w:val="auto"/>
              </w:rPr>
            </w:pPr>
            <w:r>
              <w:rPr>
                <w:rFonts w:eastAsia="Times New Roman"/>
                <w:color w:val="auto"/>
              </w:rPr>
              <w:t>YENİYOL İLKOKULU VE ORTAOKULU Kasacılar Dereiçi Eski Hopa Yolu 3,5 km 15 öğrenci 16lık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8248E"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F1AAC"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64C8F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984D90" w14:textId="77777777" w:rsidR="00000000" w:rsidRDefault="00000000">
            <w:pPr>
              <w:wordWrap w:val="0"/>
              <w:overflowPunct/>
              <w:autoSpaceDE/>
              <w:autoSpaceDN/>
              <w:rPr>
                <w:rFonts w:eastAsia="Times New Roman"/>
                <w:color w:val="auto"/>
              </w:rPr>
            </w:pPr>
            <w:r>
              <w:rPr>
                <w:rFonts w:eastAsia="Times New Roman"/>
                <w:color w:val="auto"/>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47636" w14:textId="77777777" w:rsidR="00000000" w:rsidRDefault="00000000">
            <w:pPr>
              <w:wordWrap w:val="0"/>
              <w:overflowPunct/>
              <w:autoSpaceDE/>
              <w:autoSpaceDN/>
              <w:rPr>
                <w:rFonts w:eastAsia="Times New Roman"/>
                <w:color w:val="auto"/>
              </w:rPr>
            </w:pPr>
            <w:r>
              <w:rPr>
                <w:rFonts w:eastAsia="Times New Roman"/>
                <w:color w:val="auto"/>
              </w:rPr>
              <w:t>YENİYOL İLKOKULU VE ORTAOKULU Küçükköy Dakvara 6,5km 14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7DAD9"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37998"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54CB9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3CB999" w14:textId="77777777" w:rsidR="00000000" w:rsidRDefault="00000000">
            <w:pPr>
              <w:wordWrap w:val="0"/>
              <w:overflowPunct/>
              <w:autoSpaceDE/>
              <w:autoSpaceDN/>
              <w:rPr>
                <w:rFonts w:eastAsia="Times New Roman"/>
                <w:color w:val="auto"/>
              </w:rPr>
            </w:pPr>
            <w:r>
              <w:rPr>
                <w:rFonts w:eastAsia="Times New Roman"/>
                <w:color w:val="auto"/>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8F083" w14:textId="77777777" w:rsidR="00000000" w:rsidRDefault="00000000">
            <w:pPr>
              <w:wordWrap w:val="0"/>
              <w:overflowPunct/>
              <w:autoSpaceDE/>
              <w:autoSpaceDN/>
              <w:rPr>
                <w:rFonts w:eastAsia="Times New Roman"/>
                <w:color w:val="auto"/>
              </w:rPr>
            </w:pPr>
            <w:r>
              <w:rPr>
                <w:rFonts w:eastAsia="Times New Roman"/>
                <w:color w:val="auto"/>
              </w:rPr>
              <w:t>YENİYOL İLKOKULU VE ORTAOKULU Dereiçi Kasacılar 2,7km 12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F8179"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6B50F"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620830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742A33" w14:textId="77777777" w:rsidR="00000000" w:rsidRDefault="00000000">
            <w:pPr>
              <w:wordWrap w:val="0"/>
              <w:overflowPunct/>
              <w:autoSpaceDE/>
              <w:autoSpaceDN/>
              <w:rPr>
                <w:rFonts w:eastAsia="Times New Roman"/>
                <w:color w:val="auto"/>
              </w:rPr>
            </w:pPr>
            <w:r>
              <w:rPr>
                <w:rFonts w:eastAsia="Times New Roman"/>
                <w:color w:val="auto"/>
              </w:rPr>
              <w:lastRenderedPageBreak/>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3DF2A" w14:textId="77777777" w:rsidR="00000000" w:rsidRDefault="00000000">
            <w:pPr>
              <w:wordWrap w:val="0"/>
              <w:overflowPunct/>
              <w:autoSpaceDE/>
              <w:autoSpaceDN/>
              <w:rPr>
                <w:rFonts w:eastAsia="Times New Roman"/>
                <w:color w:val="auto"/>
              </w:rPr>
            </w:pPr>
            <w:r>
              <w:rPr>
                <w:rFonts w:eastAsia="Times New Roman"/>
                <w:color w:val="auto"/>
              </w:rPr>
              <w:t>YENİYOL İLKOKULU VE ORTAOKULU Küçükköy Magunacılar Mh. 5,5km 13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512AA"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9FDBF"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0B4F68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3F218" w14:textId="77777777" w:rsidR="00000000" w:rsidRDefault="00000000">
            <w:pPr>
              <w:wordWrap w:val="0"/>
              <w:overflowPunct/>
              <w:autoSpaceDE/>
              <w:autoSpaceDN/>
              <w:rPr>
                <w:rFonts w:eastAsia="Times New Roman"/>
                <w:color w:val="auto"/>
              </w:rPr>
            </w:pPr>
            <w:r>
              <w:rPr>
                <w:rFonts w:eastAsia="Times New Roman"/>
                <w:color w:val="auto"/>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B7E94" w14:textId="77777777" w:rsidR="00000000" w:rsidRDefault="00000000">
            <w:pPr>
              <w:wordWrap w:val="0"/>
              <w:overflowPunct/>
              <w:autoSpaceDE/>
              <w:autoSpaceDN/>
              <w:rPr>
                <w:rFonts w:eastAsia="Times New Roman"/>
                <w:color w:val="auto"/>
              </w:rPr>
            </w:pPr>
            <w:r>
              <w:rPr>
                <w:rFonts w:eastAsia="Times New Roman"/>
                <w:color w:val="auto"/>
              </w:rPr>
              <w:t>YENİYOL İLKOKULU VE ORTAOKULU Örücüler Köyü Yılancılar Şehitlik Mh. 13,5km 12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3B0FB"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97662"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0C96BE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62AA2D" w14:textId="77777777" w:rsidR="00000000" w:rsidRDefault="00000000">
            <w:pPr>
              <w:wordWrap w:val="0"/>
              <w:overflowPunct/>
              <w:autoSpaceDE/>
              <w:autoSpaceDN/>
              <w:rPr>
                <w:rFonts w:eastAsia="Times New Roman"/>
                <w:color w:val="auto"/>
              </w:rPr>
            </w:pPr>
            <w:r>
              <w:rPr>
                <w:rFonts w:eastAsia="Times New Roman"/>
                <w:color w:val="auto"/>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72848" w14:textId="77777777" w:rsidR="00000000" w:rsidRDefault="00000000">
            <w:pPr>
              <w:wordWrap w:val="0"/>
              <w:overflowPunct/>
              <w:autoSpaceDE/>
              <w:autoSpaceDN/>
              <w:rPr>
                <w:rFonts w:eastAsia="Times New Roman"/>
                <w:color w:val="auto"/>
              </w:rPr>
            </w:pPr>
            <w:r>
              <w:rPr>
                <w:rFonts w:eastAsia="Times New Roman"/>
                <w:color w:val="auto"/>
              </w:rPr>
              <w:t>KARŞIKÖY İLKOKULU VE ORTAOKULU Çükur Tektaş Mh. 11km 11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14B3E"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05FC4"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77544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D5F25" w14:textId="77777777" w:rsidR="00000000" w:rsidRDefault="00000000">
            <w:pPr>
              <w:wordWrap w:val="0"/>
              <w:overflowPunct/>
              <w:autoSpaceDE/>
              <w:autoSpaceDN/>
              <w:rPr>
                <w:rFonts w:eastAsia="Times New Roman"/>
                <w:color w:val="auto"/>
              </w:rPr>
            </w:pPr>
            <w:r>
              <w:rPr>
                <w:rFonts w:eastAsia="Times New Roman"/>
                <w:color w:val="auto"/>
              </w:rPr>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7CAB0" w14:textId="77777777" w:rsidR="00000000" w:rsidRDefault="00000000">
            <w:pPr>
              <w:wordWrap w:val="0"/>
              <w:overflowPunct/>
              <w:autoSpaceDE/>
              <w:autoSpaceDN/>
              <w:rPr>
                <w:rFonts w:eastAsia="Times New Roman"/>
                <w:color w:val="auto"/>
              </w:rPr>
            </w:pPr>
            <w:r>
              <w:rPr>
                <w:rFonts w:eastAsia="Times New Roman"/>
                <w:color w:val="auto"/>
              </w:rPr>
              <w:t>KARŞIKÖY İLKOKULU VE ORTAOKULU Güneşli Köyü 18km 10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776E9"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9B299"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7A87C7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E19ABA" w14:textId="77777777" w:rsidR="00000000" w:rsidRDefault="00000000">
            <w:pPr>
              <w:wordWrap w:val="0"/>
              <w:overflowPunct/>
              <w:autoSpaceDE/>
              <w:autoSpaceDN/>
              <w:rPr>
                <w:rFonts w:eastAsia="Times New Roman"/>
                <w:color w:val="auto"/>
              </w:rPr>
            </w:pPr>
            <w:r>
              <w:rPr>
                <w:rFonts w:eastAsia="Times New Roman"/>
                <w:color w:val="auto"/>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9A39D" w14:textId="77777777" w:rsidR="00000000" w:rsidRDefault="00000000">
            <w:pPr>
              <w:wordWrap w:val="0"/>
              <w:overflowPunct/>
              <w:autoSpaceDE/>
              <w:autoSpaceDN/>
              <w:rPr>
                <w:rFonts w:eastAsia="Times New Roman"/>
                <w:color w:val="auto"/>
              </w:rPr>
            </w:pPr>
            <w:r>
              <w:rPr>
                <w:rFonts w:eastAsia="Times New Roman"/>
                <w:color w:val="auto"/>
              </w:rPr>
              <w:t>KARŞIKÖY İLKOKULU VE ORTAOKULU Kayadibi Köyü 14km 14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6BA45"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4A2D6"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6E9B6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F5D3D4" w14:textId="77777777" w:rsidR="00000000" w:rsidRDefault="00000000">
            <w:pPr>
              <w:wordWrap w:val="0"/>
              <w:overflowPunct/>
              <w:autoSpaceDE/>
              <w:autoSpaceDN/>
              <w:rPr>
                <w:rFonts w:eastAsia="Times New Roman"/>
                <w:color w:val="auto"/>
              </w:rPr>
            </w:pPr>
            <w:r>
              <w:rPr>
                <w:rFonts w:eastAsia="Times New Roman"/>
                <w:color w:val="auto"/>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C336D" w14:textId="77777777" w:rsidR="00000000" w:rsidRDefault="00000000">
            <w:pPr>
              <w:wordWrap w:val="0"/>
              <w:overflowPunct/>
              <w:autoSpaceDE/>
              <w:autoSpaceDN/>
              <w:rPr>
                <w:rFonts w:eastAsia="Times New Roman"/>
                <w:color w:val="auto"/>
              </w:rPr>
            </w:pPr>
            <w:r>
              <w:rPr>
                <w:rFonts w:eastAsia="Times New Roman"/>
                <w:color w:val="auto"/>
              </w:rPr>
              <w:t>KARŞIKÖY İLKOKULU VE ORTAOKULU Güzelyurt Köyü 17km 6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D940B"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553B9"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313A4F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F7F703" w14:textId="77777777" w:rsidR="00000000" w:rsidRDefault="00000000">
            <w:pPr>
              <w:wordWrap w:val="0"/>
              <w:overflowPunct/>
              <w:autoSpaceDE/>
              <w:autoSpaceDN/>
              <w:rPr>
                <w:rFonts w:eastAsia="Times New Roman"/>
                <w:color w:val="auto"/>
              </w:rPr>
            </w:pPr>
            <w:r>
              <w:rPr>
                <w:rFonts w:eastAsia="Times New Roman"/>
                <w:color w:val="auto"/>
              </w:rPr>
              <w:t>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C2633" w14:textId="77777777" w:rsidR="00000000" w:rsidRDefault="00000000">
            <w:pPr>
              <w:wordWrap w:val="0"/>
              <w:overflowPunct/>
              <w:autoSpaceDE/>
              <w:autoSpaceDN/>
              <w:rPr>
                <w:rFonts w:eastAsia="Times New Roman"/>
                <w:color w:val="auto"/>
              </w:rPr>
            </w:pPr>
            <w:r>
              <w:rPr>
                <w:rFonts w:eastAsia="Times New Roman"/>
                <w:color w:val="auto"/>
              </w:rPr>
              <w:t>MEHMET AKİF ERSOY İLKOKULU VE ORTAOKULU Aydınlar Mh. 1.durak 2,5km 10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252F5"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57870"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4615BB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F7BB5B" w14:textId="77777777" w:rsidR="00000000" w:rsidRDefault="00000000">
            <w:pPr>
              <w:wordWrap w:val="0"/>
              <w:overflowPunct/>
              <w:autoSpaceDE/>
              <w:autoSpaceDN/>
              <w:rPr>
                <w:rFonts w:eastAsia="Times New Roman"/>
                <w:color w:val="auto"/>
              </w:rPr>
            </w:pPr>
            <w:r>
              <w:rPr>
                <w:rFonts w:eastAsia="Times New Roman"/>
                <w:color w:val="auto"/>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B61C8" w14:textId="77777777" w:rsidR="00000000" w:rsidRDefault="00000000">
            <w:pPr>
              <w:wordWrap w:val="0"/>
              <w:overflowPunct/>
              <w:autoSpaceDE/>
              <w:autoSpaceDN/>
              <w:rPr>
                <w:rFonts w:eastAsia="Times New Roman"/>
                <w:color w:val="auto"/>
              </w:rPr>
            </w:pPr>
            <w:r>
              <w:rPr>
                <w:rFonts w:eastAsia="Times New Roman"/>
                <w:color w:val="auto"/>
              </w:rPr>
              <w:t>MEHMET AKİF ERSOY İLKOKULU VE ORTAOKULU Aydınlar Mh. 2.durak 2,5km 9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319AF"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D3B39"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2D0C81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F5CA8" w14:textId="77777777" w:rsidR="00000000" w:rsidRDefault="00000000">
            <w:pPr>
              <w:wordWrap w:val="0"/>
              <w:overflowPunct/>
              <w:autoSpaceDE/>
              <w:autoSpaceDN/>
              <w:rPr>
                <w:rFonts w:eastAsia="Times New Roman"/>
                <w:color w:val="auto"/>
              </w:rPr>
            </w:pPr>
            <w:r>
              <w:rPr>
                <w:rFonts w:eastAsia="Times New Roman"/>
                <w:color w:val="auto"/>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27891" w14:textId="77777777" w:rsidR="00000000" w:rsidRDefault="00000000">
            <w:pPr>
              <w:wordWrap w:val="0"/>
              <w:overflowPunct/>
              <w:autoSpaceDE/>
              <w:autoSpaceDN/>
              <w:rPr>
                <w:rFonts w:eastAsia="Times New Roman"/>
                <w:color w:val="auto"/>
              </w:rPr>
            </w:pPr>
            <w:r>
              <w:rPr>
                <w:rFonts w:eastAsia="Times New Roman"/>
                <w:color w:val="auto"/>
              </w:rPr>
              <w:t>MEHMET AKİF ERSOY İLKOKULU VE ORTAOKULU Aydınlar Mh Kurtuluşlar Mh. 2,5km 9 öğrenci 12lik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81CDC"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7D0A8" w14:textId="77777777" w:rsidR="00000000" w:rsidRDefault="00000000">
            <w:pPr>
              <w:wordWrap w:val="0"/>
              <w:overflowPunct/>
              <w:autoSpaceDE/>
              <w:autoSpaceDN/>
              <w:rPr>
                <w:rFonts w:eastAsia="Times New Roman"/>
                <w:color w:val="auto"/>
              </w:rPr>
            </w:pPr>
            <w:r>
              <w:rPr>
                <w:rFonts w:eastAsia="Times New Roman"/>
                <w:color w:val="auto"/>
              </w:rPr>
              <w:t>181</w:t>
            </w:r>
          </w:p>
        </w:tc>
      </w:tr>
      <w:tr w:rsidR="00000000" w14:paraId="50BC63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CBBFCD" w14:textId="77777777" w:rsidR="00000000" w:rsidRDefault="00000000">
            <w:pPr>
              <w:wordWrap w:val="0"/>
              <w:overflowPunct/>
              <w:autoSpaceDE/>
              <w:autoSpaceDN/>
              <w:rPr>
                <w:rFonts w:eastAsia="Times New Roman"/>
                <w:color w:val="auto"/>
              </w:rPr>
            </w:pPr>
            <w:r>
              <w:rPr>
                <w:rFonts w:eastAsia="Times New Roman"/>
                <w:color w:val="auto"/>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9EE58" w14:textId="77777777" w:rsidR="00000000" w:rsidRDefault="00000000">
            <w:pPr>
              <w:wordWrap w:val="0"/>
              <w:overflowPunct/>
              <w:autoSpaceDE/>
              <w:autoSpaceDN/>
              <w:rPr>
                <w:rFonts w:eastAsia="Times New Roman"/>
                <w:color w:val="auto"/>
              </w:rPr>
            </w:pPr>
            <w:r>
              <w:rPr>
                <w:rFonts w:eastAsia="Times New Roman"/>
                <w:color w:val="auto"/>
              </w:rPr>
              <w:t>MEHMET AKİF ERSOY İLKOKULU VE ORTAOKULU Atanoğlu ve Aralık Köyleri Taşlıtarla 22km 12 öğrenci 14lük araç</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97BC3" w14:textId="77777777" w:rsidR="00000000" w:rsidRDefault="00000000">
            <w:pPr>
              <w:wordWrap w:val="0"/>
              <w:overflowPunct/>
              <w:autoSpaceDE/>
              <w:autoSpaceDN/>
              <w:rPr>
                <w:rFonts w:eastAsia="Times New Roman"/>
                <w:color w:val="auto"/>
              </w:rPr>
            </w:pPr>
            <w:r>
              <w:rPr>
                <w:rFonts w:eastAsia="Times New Roman"/>
                <w:color w:val="auto"/>
              </w:rPr>
              <w:t>gün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DC0DB" w14:textId="77777777" w:rsidR="00000000" w:rsidRDefault="00000000">
            <w:pPr>
              <w:wordWrap w:val="0"/>
              <w:overflowPunct/>
              <w:autoSpaceDE/>
              <w:autoSpaceDN/>
              <w:rPr>
                <w:rFonts w:eastAsia="Times New Roman"/>
                <w:color w:val="auto"/>
              </w:rPr>
            </w:pPr>
            <w:r>
              <w:rPr>
                <w:rFonts w:eastAsia="Times New Roman"/>
                <w:color w:val="auto"/>
              </w:rPr>
              <w:t>181</w:t>
            </w:r>
          </w:p>
        </w:tc>
      </w:tr>
    </w:tbl>
    <w:p w14:paraId="663A87B1" w14:textId="77777777" w:rsidR="00000000" w:rsidRDefault="00000000">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14:paraId="3D432B1F" w14:textId="77777777">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6E7481C4" w14:textId="77777777" w:rsidR="00000000" w:rsidRDefault="00000000">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14:paraId="06A32EB3" w14:textId="77777777" w:rsidR="00000000" w:rsidRDefault="00000000">
            <w:pPr>
              <w:wordWrap w:val="0"/>
              <w:overflowPunct/>
              <w:autoSpaceDE/>
              <w:autoSpaceDN/>
              <w:rPr>
                <w:rFonts w:eastAsia="Times New Roman"/>
                <w:color w:val="auto"/>
              </w:rPr>
            </w:pPr>
            <w:r>
              <w:rPr>
                <w:rFonts w:eastAsia="Times New Roman"/>
                <w:b/>
                <w:bCs/>
                <w:color w:val="auto"/>
              </w:rPr>
              <w:t>Okas Açıklaması</w:t>
            </w:r>
          </w:p>
        </w:tc>
      </w:tr>
      <w:tr w:rsidR="00000000" w14:paraId="7CEC83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DA108A" w14:textId="77777777" w:rsidR="00000000" w:rsidRDefault="00000000">
            <w:pPr>
              <w:wordWrap w:val="0"/>
              <w:overflowPunct/>
              <w:autoSpaceDE/>
              <w:autoSpaceDN/>
              <w:rPr>
                <w:rFonts w:eastAsia="Times New Roman"/>
                <w:color w:val="auto"/>
              </w:rPr>
            </w:pPr>
            <w:r>
              <w:rPr>
                <w:rFonts w:eastAsia="Times New Roman"/>
                <w:color w:val="auto"/>
              </w:rPr>
              <w:t>601700001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95486" w14:textId="77777777" w:rsidR="00000000" w:rsidRDefault="00000000">
            <w:pPr>
              <w:wordWrap w:val="0"/>
              <w:overflowPunct/>
              <w:autoSpaceDE/>
              <w:autoSpaceDN/>
              <w:rPr>
                <w:rFonts w:eastAsia="Times New Roman"/>
                <w:color w:val="auto"/>
              </w:rPr>
            </w:pPr>
            <w:r>
              <w:rPr>
                <w:rFonts w:eastAsia="Times New Roman"/>
                <w:color w:val="auto"/>
              </w:rPr>
              <w:t>Yolcu taşıma araçlarının sürücüsüz olarak kiralanması</w:t>
            </w:r>
          </w:p>
        </w:tc>
      </w:tr>
    </w:tbl>
    <w:p w14:paraId="186D6D69" w14:textId="77777777" w:rsidR="004A73C0" w:rsidRDefault="00000000">
      <w:pPr>
        <w:pStyle w:val="AltBilgi"/>
        <w:divId w:val="1098911978"/>
      </w:pPr>
      <w:r>
        <w:tab/>
      </w:r>
      <w:r>
        <w:tab/>
        <w:t xml:space="preserve"> </w:t>
      </w:r>
      <w:r>
        <w:fldChar w:fldCharType="begin"/>
      </w:r>
      <w:r>
        <w:instrText xml:space="preserve"> PAGE </w:instrText>
      </w:r>
      <w:r>
        <w:fldChar w:fldCharType="separate"/>
      </w:r>
      <w:r>
        <w:fldChar w:fldCharType="end"/>
      </w:r>
      <w:r>
        <w:t xml:space="preserve"> </w:t>
      </w:r>
    </w:p>
    <w:sectPr w:rsidR="004A73C0">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D08D" w14:textId="77777777" w:rsidR="004A73C0" w:rsidRDefault="004A73C0">
      <w:r>
        <w:separator/>
      </w:r>
    </w:p>
  </w:endnote>
  <w:endnote w:type="continuationSeparator" w:id="0">
    <w:p w14:paraId="4515AC06" w14:textId="77777777" w:rsidR="004A73C0" w:rsidRDefault="004A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323B" w14:textId="77777777" w:rsidR="00000000" w:rsidRDefault="00000000">
    <w:pPr>
      <w:pStyle w:val="AltBilgi"/>
    </w:pPr>
    <w:r>
      <w:tab/>
    </w:r>
    <w:r>
      <w:tab/>
      <w:t xml:space="preserve"> </w:t>
    </w:r>
    <w:r>
      <w:fldChar w:fldCharType="begin"/>
    </w:r>
    <w:r>
      <w:instrText xml:space="preserve"> PAGE </w:instrText>
    </w:r>
    <w:r>
      <w:fldChar w:fldCharType="separate"/>
    </w:r>
    <w:r w:rsidR="0021075D">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BD8E9" w14:textId="77777777" w:rsidR="004A73C0" w:rsidRDefault="004A73C0">
      <w:r>
        <w:separator/>
      </w:r>
    </w:p>
  </w:footnote>
  <w:footnote w:type="continuationSeparator" w:id="0">
    <w:p w14:paraId="11D85A26" w14:textId="77777777" w:rsidR="004A73C0" w:rsidRDefault="004A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031A3"/>
    <w:rsid w:val="0021075D"/>
    <w:rsid w:val="00375DEB"/>
    <w:rsid w:val="004A73C0"/>
    <w:rsid w:val="00703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DBBEF"/>
  <w15:chartTrackingRefBased/>
  <w15:docId w15:val="{D04F443B-45D9-43C9-8FC4-C11418AB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F5496"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3763"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5187">
      <w:marLeft w:val="709"/>
      <w:marRight w:val="0"/>
      <w:marTop w:val="0"/>
      <w:marBottom w:val="0"/>
      <w:divBdr>
        <w:top w:val="none" w:sz="0" w:space="0" w:color="auto"/>
        <w:left w:val="none" w:sz="0" w:space="0" w:color="auto"/>
        <w:bottom w:val="none" w:sz="0" w:space="0" w:color="auto"/>
        <w:right w:val="none" w:sz="0" w:space="0" w:color="auto"/>
      </w:divBdr>
    </w:div>
    <w:div w:id="295380835">
      <w:marLeft w:val="709"/>
      <w:marRight w:val="0"/>
      <w:marTop w:val="0"/>
      <w:marBottom w:val="0"/>
      <w:divBdr>
        <w:top w:val="none" w:sz="0" w:space="0" w:color="auto"/>
        <w:left w:val="none" w:sz="0" w:space="0" w:color="auto"/>
        <w:bottom w:val="none" w:sz="0" w:space="0" w:color="auto"/>
        <w:right w:val="none" w:sz="0" w:space="0" w:color="auto"/>
      </w:divBdr>
    </w:div>
    <w:div w:id="327944244">
      <w:marLeft w:val="709"/>
      <w:marRight w:val="0"/>
      <w:marTop w:val="0"/>
      <w:marBottom w:val="0"/>
      <w:divBdr>
        <w:top w:val="none" w:sz="0" w:space="0" w:color="auto"/>
        <w:left w:val="none" w:sz="0" w:space="0" w:color="auto"/>
        <w:bottom w:val="none" w:sz="0" w:space="0" w:color="auto"/>
        <w:right w:val="none" w:sz="0" w:space="0" w:color="auto"/>
      </w:divBdr>
      <w:divsChild>
        <w:div w:id="1317027107">
          <w:marLeft w:val="708"/>
          <w:marRight w:val="0"/>
          <w:marTop w:val="0"/>
          <w:marBottom w:val="0"/>
          <w:divBdr>
            <w:top w:val="none" w:sz="0" w:space="0" w:color="auto"/>
            <w:left w:val="none" w:sz="0" w:space="0" w:color="auto"/>
            <w:bottom w:val="none" w:sz="0" w:space="0" w:color="auto"/>
            <w:right w:val="none" w:sz="0" w:space="0" w:color="auto"/>
          </w:divBdr>
        </w:div>
      </w:divsChild>
    </w:div>
    <w:div w:id="495456664">
      <w:marLeft w:val="709"/>
      <w:marRight w:val="0"/>
      <w:marTop w:val="0"/>
      <w:marBottom w:val="0"/>
      <w:divBdr>
        <w:top w:val="none" w:sz="0" w:space="0" w:color="auto"/>
        <w:left w:val="none" w:sz="0" w:space="0" w:color="auto"/>
        <w:bottom w:val="none" w:sz="0" w:space="0" w:color="auto"/>
        <w:right w:val="none" w:sz="0" w:space="0" w:color="auto"/>
      </w:divBdr>
    </w:div>
    <w:div w:id="503323515">
      <w:marLeft w:val="709"/>
      <w:marRight w:val="0"/>
      <w:marTop w:val="0"/>
      <w:marBottom w:val="0"/>
      <w:divBdr>
        <w:top w:val="none" w:sz="0" w:space="0" w:color="auto"/>
        <w:left w:val="none" w:sz="0" w:space="0" w:color="auto"/>
        <w:bottom w:val="none" w:sz="0" w:space="0" w:color="auto"/>
        <w:right w:val="none" w:sz="0" w:space="0" w:color="auto"/>
      </w:divBdr>
    </w:div>
    <w:div w:id="674962884">
      <w:marLeft w:val="709"/>
      <w:marRight w:val="0"/>
      <w:marTop w:val="0"/>
      <w:marBottom w:val="0"/>
      <w:divBdr>
        <w:top w:val="none" w:sz="0" w:space="0" w:color="auto"/>
        <w:left w:val="none" w:sz="0" w:space="0" w:color="auto"/>
        <w:bottom w:val="none" w:sz="0" w:space="0" w:color="auto"/>
        <w:right w:val="none" w:sz="0" w:space="0" w:color="auto"/>
      </w:divBdr>
    </w:div>
    <w:div w:id="972322099">
      <w:marLeft w:val="709"/>
      <w:marRight w:val="0"/>
      <w:marTop w:val="0"/>
      <w:marBottom w:val="0"/>
      <w:divBdr>
        <w:top w:val="none" w:sz="0" w:space="0" w:color="auto"/>
        <w:left w:val="none" w:sz="0" w:space="0" w:color="auto"/>
        <w:bottom w:val="none" w:sz="0" w:space="0" w:color="auto"/>
        <w:right w:val="none" w:sz="0" w:space="0" w:color="auto"/>
      </w:divBdr>
    </w:div>
    <w:div w:id="1000739510">
      <w:marLeft w:val="709"/>
      <w:marRight w:val="0"/>
      <w:marTop w:val="0"/>
      <w:marBottom w:val="0"/>
      <w:divBdr>
        <w:top w:val="none" w:sz="0" w:space="0" w:color="auto"/>
        <w:left w:val="none" w:sz="0" w:space="0" w:color="auto"/>
        <w:bottom w:val="none" w:sz="0" w:space="0" w:color="auto"/>
        <w:right w:val="none" w:sz="0" w:space="0" w:color="auto"/>
      </w:divBdr>
    </w:div>
    <w:div w:id="1098911978">
      <w:marLeft w:val="0"/>
      <w:marRight w:val="0"/>
      <w:marTop w:val="0"/>
      <w:marBottom w:val="0"/>
      <w:divBdr>
        <w:top w:val="none" w:sz="0" w:space="0" w:color="auto"/>
        <w:left w:val="none" w:sz="0" w:space="0" w:color="auto"/>
        <w:bottom w:val="none" w:sz="0" w:space="0" w:color="auto"/>
        <w:right w:val="none" w:sz="0" w:space="0" w:color="auto"/>
      </w:divBdr>
    </w:div>
    <w:div w:id="1374962250">
      <w:marLeft w:val="709"/>
      <w:marRight w:val="0"/>
      <w:marTop w:val="0"/>
      <w:marBottom w:val="0"/>
      <w:divBdr>
        <w:top w:val="none" w:sz="0" w:space="0" w:color="auto"/>
        <w:left w:val="none" w:sz="0" w:space="0" w:color="auto"/>
        <w:bottom w:val="none" w:sz="0" w:space="0" w:color="auto"/>
        <w:right w:val="none" w:sz="0" w:space="0" w:color="auto"/>
      </w:divBdr>
    </w:div>
    <w:div w:id="1474827694">
      <w:marLeft w:val="709"/>
      <w:marRight w:val="0"/>
      <w:marTop w:val="0"/>
      <w:marBottom w:val="0"/>
      <w:divBdr>
        <w:top w:val="none" w:sz="0" w:space="0" w:color="auto"/>
        <w:left w:val="none" w:sz="0" w:space="0" w:color="auto"/>
        <w:bottom w:val="none" w:sz="0" w:space="0" w:color="auto"/>
        <w:right w:val="none" w:sz="0" w:space="0" w:color="auto"/>
      </w:divBdr>
    </w:div>
    <w:div w:id="1675914023">
      <w:marLeft w:val="709"/>
      <w:marRight w:val="0"/>
      <w:marTop w:val="0"/>
      <w:marBottom w:val="0"/>
      <w:divBdr>
        <w:top w:val="none" w:sz="0" w:space="0" w:color="auto"/>
        <w:left w:val="none" w:sz="0" w:space="0" w:color="auto"/>
        <w:bottom w:val="none" w:sz="0" w:space="0" w:color="auto"/>
        <w:right w:val="none" w:sz="0" w:space="0" w:color="auto"/>
      </w:divBdr>
    </w:div>
    <w:div w:id="1693413567">
      <w:marLeft w:val="709"/>
      <w:marRight w:val="0"/>
      <w:marTop w:val="0"/>
      <w:marBottom w:val="0"/>
      <w:divBdr>
        <w:top w:val="none" w:sz="0" w:space="0" w:color="auto"/>
        <w:left w:val="none" w:sz="0" w:space="0" w:color="auto"/>
        <w:bottom w:val="none" w:sz="0" w:space="0" w:color="auto"/>
        <w:right w:val="none" w:sz="0" w:space="0" w:color="auto"/>
      </w:divBdr>
    </w:div>
    <w:div w:id="1730153635">
      <w:marLeft w:val="709"/>
      <w:marRight w:val="0"/>
      <w:marTop w:val="0"/>
      <w:marBottom w:val="0"/>
      <w:divBdr>
        <w:top w:val="none" w:sz="0" w:space="0" w:color="auto"/>
        <w:left w:val="none" w:sz="0" w:space="0" w:color="auto"/>
        <w:bottom w:val="none" w:sz="0" w:space="0" w:color="auto"/>
        <w:right w:val="none" w:sz="0" w:space="0" w:color="auto"/>
      </w:divBdr>
    </w:div>
    <w:div w:id="1766488774">
      <w:marLeft w:val="709"/>
      <w:marRight w:val="0"/>
      <w:marTop w:val="0"/>
      <w:marBottom w:val="0"/>
      <w:divBdr>
        <w:top w:val="none" w:sz="0" w:space="0" w:color="auto"/>
        <w:left w:val="none" w:sz="0" w:space="0" w:color="auto"/>
        <w:bottom w:val="none" w:sz="0" w:space="0" w:color="auto"/>
        <w:right w:val="none" w:sz="0" w:space="0" w:color="auto"/>
      </w:divBdr>
    </w:div>
    <w:div w:id="1793666755">
      <w:marLeft w:val="709"/>
      <w:marRight w:val="0"/>
      <w:marTop w:val="0"/>
      <w:marBottom w:val="0"/>
      <w:divBdr>
        <w:top w:val="none" w:sz="0" w:space="0" w:color="auto"/>
        <w:left w:val="none" w:sz="0" w:space="0" w:color="auto"/>
        <w:bottom w:val="none" w:sz="0" w:space="0" w:color="auto"/>
        <w:right w:val="none" w:sz="0" w:space="0" w:color="auto"/>
      </w:divBdr>
    </w:div>
    <w:div w:id="1916354473">
      <w:marLeft w:val="709"/>
      <w:marRight w:val="0"/>
      <w:marTop w:val="0"/>
      <w:marBottom w:val="0"/>
      <w:divBdr>
        <w:top w:val="none" w:sz="0" w:space="0" w:color="auto"/>
        <w:left w:val="none" w:sz="0" w:space="0" w:color="auto"/>
        <w:bottom w:val="none" w:sz="0" w:space="0" w:color="auto"/>
        <w:right w:val="none" w:sz="0" w:space="0" w:color="auto"/>
      </w:divBdr>
    </w:div>
    <w:div w:id="1974483245">
      <w:marLeft w:val="709"/>
      <w:marRight w:val="0"/>
      <w:marTop w:val="0"/>
      <w:marBottom w:val="0"/>
      <w:divBdr>
        <w:top w:val="none" w:sz="0" w:space="0" w:color="auto"/>
        <w:left w:val="none" w:sz="0" w:space="0" w:color="auto"/>
        <w:bottom w:val="none" w:sz="0" w:space="0" w:color="auto"/>
        <w:right w:val="none" w:sz="0" w:space="0" w:color="auto"/>
      </w:divBdr>
    </w:div>
    <w:div w:id="2132430559">
      <w:marLeft w:val="709"/>
      <w:marRight w:val="0"/>
      <w:marTop w:val="0"/>
      <w:marBottom w:val="0"/>
      <w:divBdr>
        <w:top w:val="none" w:sz="0" w:space="0" w:color="auto"/>
        <w:left w:val="none" w:sz="0" w:space="0" w:color="auto"/>
        <w:bottom w:val="none" w:sz="0" w:space="0" w:color="auto"/>
        <w:right w:val="none" w:sz="0" w:space="0" w:color="auto"/>
      </w:divBdr>
    </w:div>
    <w:div w:id="2134639916">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10845</Words>
  <Characters>61818</Characters>
  <Application>Microsoft Office Word</Application>
  <DocSecurity>0</DocSecurity>
  <Lines>515</Lines>
  <Paragraphs>145</Paragraphs>
  <ScaleCrop>false</ScaleCrop>
  <Company/>
  <LinksUpToDate>false</LinksUpToDate>
  <CharactersWithSpaces>72518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2024-09-10T07:07:00Z</dcterms:created>
  <dcterms:modified xsi:type="dcterms:W3CDTF">2024-09-10T07:07:00Z</dcterms:modified>
</cp:coreProperties>
</file>